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4E4CB" w14:textId="03C474AD" w:rsidR="235DF6B6" w:rsidRPr="004953A8" w:rsidRDefault="004953A8" w:rsidP="00575ECF">
      <w:pPr>
        <w:jc w:val="center"/>
        <w:rPr>
          <w:rFonts w:ascii="Times New Roman" w:eastAsia="Times New Roman" w:hAnsi="Times New Roman" w:cs="Times New Roman"/>
          <w:b/>
          <w:bCs/>
          <w:sz w:val="28"/>
          <w:szCs w:val="28"/>
        </w:rPr>
      </w:pPr>
      <w:r w:rsidRPr="004953A8">
        <w:rPr>
          <w:rFonts w:ascii="Times New Roman" w:eastAsia="Times New Roman" w:hAnsi="Times New Roman" w:cs="Times New Roman"/>
          <w:b/>
          <w:bCs/>
          <w:sz w:val="28"/>
          <w:szCs w:val="28"/>
        </w:rPr>
        <w:t>Competencia de análisis y reflexión sobre la gestión de lecciones de libros de texto por maestros en formación</w:t>
      </w:r>
    </w:p>
    <w:p w14:paraId="23F9B14E" w14:textId="678D854B" w:rsidR="57A38557" w:rsidRPr="004953A8" w:rsidRDefault="57A38557" w:rsidP="57A38557">
      <w:pPr>
        <w:jc w:val="center"/>
        <w:rPr>
          <w:rFonts w:ascii="Times New Roman" w:eastAsia="Times New Roman" w:hAnsi="Times New Roman" w:cs="Times New Roman"/>
        </w:rPr>
      </w:pPr>
    </w:p>
    <w:p w14:paraId="7A78A462" w14:textId="77777777" w:rsidR="00DF0D06" w:rsidRDefault="00DF0D06" w:rsidP="235DF6B6">
      <w:pPr>
        <w:ind w:firstLine="709"/>
        <w:rPr>
          <w:rFonts w:ascii="Times New Roman" w:eastAsia="Times New Roman" w:hAnsi="Times New Roman" w:cs="Times New Roman"/>
          <w:b/>
          <w:bCs/>
        </w:rPr>
      </w:pPr>
      <w:r>
        <w:rPr>
          <w:rFonts w:ascii="Times New Roman" w:eastAsia="Times New Roman" w:hAnsi="Times New Roman" w:cs="Times New Roman"/>
          <w:b/>
          <w:bCs/>
        </w:rPr>
        <w:t>RESUMEN</w:t>
      </w:r>
    </w:p>
    <w:p w14:paraId="5345BE10" w14:textId="6628EBF7" w:rsidR="00DF0D06" w:rsidRDefault="00DF0D06" w:rsidP="00DF0D06">
      <w:pPr>
        <w:ind w:firstLine="709"/>
        <w:jc w:val="both"/>
        <w:rPr>
          <w:rStyle w:val="normaltextrun"/>
          <w:rFonts w:ascii="Times New Roman" w:hAnsi="Times New Roman" w:cs="Times New Roman"/>
          <w:sz w:val="20"/>
          <w:szCs w:val="20"/>
        </w:rPr>
      </w:pPr>
      <w:r w:rsidRPr="006278DE">
        <w:rPr>
          <w:rStyle w:val="normaltextrun"/>
          <w:rFonts w:ascii="Times New Roman" w:hAnsi="Times New Roman" w:cs="Times New Roman"/>
          <w:b/>
          <w:bCs/>
          <w:sz w:val="20"/>
          <w:szCs w:val="20"/>
        </w:rPr>
        <w:t>Antecedentes</w:t>
      </w:r>
      <w:r w:rsidRPr="006278DE">
        <w:rPr>
          <w:rStyle w:val="normaltextrun"/>
          <w:rFonts w:ascii="Times New Roman" w:hAnsi="Times New Roman" w:cs="Times New Roman"/>
          <w:sz w:val="20"/>
          <w:szCs w:val="20"/>
        </w:rPr>
        <w:t xml:space="preserve">: </w:t>
      </w:r>
      <w:r w:rsidR="006278DE" w:rsidRPr="006278DE">
        <w:rPr>
          <w:rStyle w:val="normaltextrun"/>
          <w:rFonts w:ascii="Times New Roman" w:hAnsi="Times New Roman" w:cs="Times New Roman"/>
          <w:sz w:val="20"/>
          <w:szCs w:val="20"/>
        </w:rPr>
        <w:t>Poder valorar lo que ocurre en un proceso de enseñanza-aprendizaje es una de las competencias esenciales del profesor. Este debe analizar y seleccionar los recursos educativos que considera pertinentes para sus alumnos. Dado que los libros de texto constituyen un importante recurso para el diseño instruccional, el docente debe ser capaz de analizar su idoneidad, identificar limitaciones y realizar adaptaciones que las solventen considerando las necesidades de sus estudiantes.</w:t>
      </w:r>
      <w:r w:rsidR="00F97258">
        <w:rPr>
          <w:rStyle w:val="normaltextrun"/>
          <w:rFonts w:ascii="Times New Roman" w:hAnsi="Times New Roman" w:cs="Times New Roman"/>
          <w:sz w:val="20"/>
          <w:szCs w:val="20"/>
        </w:rPr>
        <w:t xml:space="preserve"> </w:t>
      </w:r>
      <w:r w:rsidRPr="006278DE">
        <w:rPr>
          <w:rStyle w:val="normaltextrun"/>
          <w:rFonts w:ascii="Times New Roman" w:hAnsi="Times New Roman" w:cs="Times New Roman"/>
          <w:b/>
          <w:bCs/>
          <w:sz w:val="20"/>
          <w:szCs w:val="20"/>
        </w:rPr>
        <w:t>Objetiv</w:t>
      </w:r>
      <w:r w:rsidR="006278DE">
        <w:rPr>
          <w:rStyle w:val="normaltextrun"/>
          <w:rFonts w:ascii="Times New Roman" w:hAnsi="Times New Roman" w:cs="Times New Roman"/>
          <w:b/>
          <w:bCs/>
          <w:sz w:val="20"/>
          <w:szCs w:val="20"/>
        </w:rPr>
        <w:t>o</w:t>
      </w:r>
      <w:r w:rsidRPr="006278DE">
        <w:rPr>
          <w:rStyle w:val="normaltextrun"/>
          <w:rFonts w:ascii="Times New Roman" w:hAnsi="Times New Roman" w:cs="Times New Roman"/>
          <w:b/>
          <w:bCs/>
          <w:sz w:val="20"/>
          <w:szCs w:val="20"/>
        </w:rPr>
        <w:t>s</w:t>
      </w:r>
      <w:r w:rsidRPr="006278DE">
        <w:rPr>
          <w:rStyle w:val="normaltextrun"/>
          <w:rFonts w:ascii="Times New Roman" w:hAnsi="Times New Roman" w:cs="Times New Roman"/>
          <w:sz w:val="20"/>
          <w:szCs w:val="20"/>
        </w:rPr>
        <w:t xml:space="preserve">: </w:t>
      </w:r>
      <w:r w:rsidR="00E63AE8">
        <w:rPr>
          <w:rStyle w:val="normaltextrun"/>
          <w:rFonts w:ascii="Times New Roman" w:hAnsi="Times New Roman" w:cs="Times New Roman"/>
          <w:sz w:val="20"/>
          <w:szCs w:val="20"/>
        </w:rPr>
        <w:t>Describimos</w:t>
      </w:r>
      <w:r w:rsidR="006278DE" w:rsidRPr="006278DE">
        <w:rPr>
          <w:rStyle w:val="normaltextrun"/>
          <w:rFonts w:ascii="Times New Roman" w:hAnsi="Times New Roman" w:cs="Times New Roman"/>
          <w:sz w:val="20"/>
          <w:szCs w:val="20"/>
        </w:rPr>
        <w:t xml:space="preserve"> el diseño, implementación y resultados de una acción formativa con maestros en formación, orientada al desarrollo de la competencia para el análisis, identificación de conflictos y propuestas de gestión de lecciones de libros de texto, particularizadas al contenido de la proporcionalidad. </w:t>
      </w:r>
      <w:r w:rsidRPr="006278DE">
        <w:rPr>
          <w:rStyle w:val="normaltextrun"/>
          <w:rFonts w:ascii="Times New Roman" w:hAnsi="Times New Roman" w:cs="Times New Roman"/>
          <w:b/>
          <w:bCs/>
          <w:sz w:val="20"/>
          <w:szCs w:val="20"/>
        </w:rPr>
        <w:t>D</w:t>
      </w:r>
      <w:r w:rsidR="006278DE">
        <w:rPr>
          <w:rStyle w:val="normaltextrun"/>
          <w:rFonts w:ascii="Times New Roman" w:hAnsi="Times New Roman" w:cs="Times New Roman"/>
          <w:b/>
          <w:bCs/>
          <w:sz w:val="20"/>
          <w:szCs w:val="20"/>
        </w:rPr>
        <w:t>iseño</w:t>
      </w:r>
      <w:r w:rsidRPr="006278DE">
        <w:rPr>
          <w:rStyle w:val="normaltextrun"/>
          <w:rFonts w:ascii="Times New Roman" w:hAnsi="Times New Roman" w:cs="Times New Roman"/>
          <w:sz w:val="20"/>
          <w:szCs w:val="20"/>
        </w:rPr>
        <w:t xml:space="preserve">: </w:t>
      </w:r>
      <w:r w:rsidR="00E63AE8">
        <w:rPr>
          <w:rStyle w:val="normaltextrun"/>
          <w:rFonts w:ascii="Times New Roman" w:hAnsi="Times New Roman" w:cs="Times New Roman"/>
          <w:sz w:val="20"/>
          <w:szCs w:val="20"/>
        </w:rPr>
        <w:t>La</w:t>
      </w:r>
      <w:r w:rsidR="006278DE" w:rsidRPr="006278DE">
        <w:rPr>
          <w:rStyle w:val="normaltextrun"/>
          <w:rFonts w:ascii="Times New Roman" w:hAnsi="Times New Roman" w:cs="Times New Roman"/>
          <w:sz w:val="20"/>
          <w:szCs w:val="20"/>
        </w:rPr>
        <w:t xml:space="preserve"> investigación es interpretativa de tipo exploratorio, se aplica el análisis de contenido para examinar los protocolos de respuesta de los participante</w:t>
      </w:r>
      <w:r w:rsidR="00E63AE8">
        <w:rPr>
          <w:rStyle w:val="normaltextrun"/>
          <w:rFonts w:ascii="Times New Roman" w:hAnsi="Times New Roman" w:cs="Times New Roman"/>
          <w:sz w:val="20"/>
          <w:szCs w:val="20"/>
        </w:rPr>
        <w:t>s</w:t>
      </w:r>
      <w:r w:rsidR="006278DE" w:rsidRPr="006278DE">
        <w:rPr>
          <w:rStyle w:val="normaltextrun"/>
          <w:rFonts w:ascii="Times New Roman" w:hAnsi="Times New Roman" w:cs="Times New Roman"/>
          <w:sz w:val="20"/>
          <w:szCs w:val="20"/>
        </w:rPr>
        <w:t xml:space="preserve">.  </w:t>
      </w:r>
      <w:r w:rsidR="001F2B0E">
        <w:rPr>
          <w:rStyle w:val="normaltextrun"/>
          <w:rFonts w:ascii="Times New Roman" w:hAnsi="Times New Roman" w:cs="Times New Roman"/>
          <w:b/>
          <w:bCs/>
          <w:sz w:val="20"/>
          <w:szCs w:val="20"/>
        </w:rPr>
        <w:t>Lugar</w:t>
      </w:r>
      <w:r w:rsidR="006278DE" w:rsidRPr="006278DE">
        <w:rPr>
          <w:rStyle w:val="normaltextrun"/>
          <w:rFonts w:ascii="Times New Roman" w:hAnsi="Times New Roman" w:cs="Times New Roman"/>
          <w:b/>
          <w:bCs/>
          <w:sz w:val="20"/>
          <w:szCs w:val="20"/>
        </w:rPr>
        <w:t xml:space="preserve"> y participantes</w:t>
      </w:r>
      <w:r w:rsidRPr="006278DE">
        <w:rPr>
          <w:rStyle w:val="normaltextrun"/>
          <w:rFonts w:ascii="Times New Roman" w:hAnsi="Times New Roman" w:cs="Times New Roman"/>
          <w:sz w:val="20"/>
          <w:szCs w:val="20"/>
        </w:rPr>
        <w:t>:</w:t>
      </w:r>
      <w:r w:rsidR="006278DE" w:rsidRPr="006278DE">
        <w:t xml:space="preserve"> </w:t>
      </w:r>
      <w:r w:rsidR="006278DE" w:rsidRPr="006278DE">
        <w:rPr>
          <w:rStyle w:val="normaltextrun"/>
          <w:rFonts w:ascii="Times New Roman" w:hAnsi="Times New Roman" w:cs="Times New Roman"/>
          <w:sz w:val="20"/>
          <w:szCs w:val="20"/>
        </w:rPr>
        <w:t>La experiencia se realizó en el marco del grado de Educación Primaria; la muestra fue de 48 estudiantes</w:t>
      </w:r>
      <w:r w:rsidRPr="006278DE">
        <w:rPr>
          <w:rStyle w:val="normaltextrun"/>
          <w:rFonts w:ascii="Times New Roman" w:hAnsi="Times New Roman" w:cs="Times New Roman"/>
          <w:sz w:val="20"/>
          <w:szCs w:val="20"/>
        </w:rPr>
        <w:t xml:space="preserve">. </w:t>
      </w:r>
      <w:r w:rsidR="006278DE">
        <w:rPr>
          <w:rStyle w:val="normaltextrun"/>
          <w:rFonts w:ascii="Times New Roman" w:hAnsi="Times New Roman" w:cs="Times New Roman"/>
          <w:b/>
          <w:bCs/>
          <w:sz w:val="20"/>
          <w:szCs w:val="20"/>
        </w:rPr>
        <w:t>Recogida y análisis de los dato</w:t>
      </w:r>
      <w:r w:rsidRPr="006278DE">
        <w:rPr>
          <w:rStyle w:val="normaltextrun"/>
          <w:rFonts w:ascii="Times New Roman" w:hAnsi="Times New Roman" w:cs="Times New Roman"/>
          <w:b/>
          <w:bCs/>
          <w:sz w:val="20"/>
          <w:szCs w:val="20"/>
        </w:rPr>
        <w:t>s</w:t>
      </w:r>
      <w:r w:rsidRPr="006278DE">
        <w:rPr>
          <w:rStyle w:val="normaltextrun"/>
          <w:rFonts w:ascii="Times New Roman" w:hAnsi="Times New Roman" w:cs="Times New Roman"/>
          <w:sz w:val="20"/>
          <w:szCs w:val="20"/>
        </w:rPr>
        <w:t>:</w:t>
      </w:r>
      <w:r w:rsidR="006278DE" w:rsidRPr="006278DE">
        <w:t xml:space="preserve"> </w:t>
      </w:r>
      <w:r w:rsidR="00E63AE8">
        <w:rPr>
          <w:rStyle w:val="normaltextrun"/>
          <w:rFonts w:ascii="Times New Roman" w:hAnsi="Times New Roman" w:cs="Times New Roman"/>
          <w:sz w:val="20"/>
          <w:szCs w:val="20"/>
        </w:rPr>
        <w:t>L</w:t>
      </w:r>
      <w:r w:rsidR="006278DE" w:rsidRPr="006278DE">
        <w:rPr>
          <w:rStyle w:val="normaltextrun"/>
          <w:rFonts w:ascii="Times New Roman" w:hAnsi="Times New Roman" w:cs="Times New Roman"/>
          <w:sz w:val="20"/>
          <w:szCs w:val="20"/>
        </w:rPr>
        <w:t xml:space="preserve">a información se recopiló a partir de las anotaciones del observador/investigador y las respuestas </w:t>
      </w:r>
      <w:r w:rsidR="00E63AE8">
        <w:rPr>
          <w:rStyle w:val="normaltextrun"/>
          <w:rFonts w:ascii="Times New Roman" w:hAnsi="Times New Roman" w:cs="Times New Roman"/>
          <w:sz w:val="20"/>
          <w:szCs w:val="20"/>
        </w:rPr>
        <w:t>de los participantes</w:t>
      </w:r>
      <w:r w:rsidR="006278DE" w:rsidRPr="006278DE">
        <w:rPr>
          <w:rStyle w:val="normaltextrun"/>
          <w:rFonts w:ascii="Times New Roman" w:hAnsi="Times New Roman" w:cs="Times New Roman"/>
          <w:sz w:val="20"/>
          <w:szCs w:val="20"/>
        </w:rPr>
        <w:t xml:space="preserve"> a la tarea de evaluación propuesta. </w:t>
      </w:r>
      <w:r w:rsidRPr="006278DE">
        <w:rPr>
          <w:rStyle w:val="normaltextrun"/>
          <w:rFonts w:ascii="Times New Roman" w:hAnsi="Times New Roman" w:cs="Times New Roman"/>
          <w:b/>
          <w:bCs/>
          <w:sz w:val="20"/>
          <w:szCs w:val="20"/>
        </w:rPr>
        <w:t>Result</w:t>
      </w:r>
      <w:r w:rsidR="006278DE">
        <w:rPr>
          <w:rStyle w:val="normaltextrun"/>
          <w:rFonts w:ascii="Times New Roman" w:hAnsi="Times New Roman" w:cs="Times New Roman"/>
          <w:b/>
          <w:bCs/>
          <w:sz w:val="20"/>
          <w:szCs w:val="20"/>
        </w:rPr>
        <w:t>ado</w:t>
      </w:r>
      <w:r w:rsidRPr="006278DE">
        <w:rPr>
          <w:rStyle w:val="normaltextrun"/>
          <w:rFonts w:ascii="Times New Roman" w:hAnsi="Times New Roman" w:cs="Times New Roman"/>
          <w:b/>
          <w:bCs/>
          <w:sz w:val="20"/>
          <w:szCs w:val="20"/>
        </w:rPr>
        <w:t>s</w:t>
      </w:r>
      <w:r w:rsidRPr="006278DE">
        <w:rPr>
          <w:rStyle w:val="normaltextrun"/>
          <w:rFonts w:ascii="Times New Roman" w:hAnsi="Times New Roman" w:cs="Times New Roman"/>
          <w:sz w:val="20"/>
          <w:szCs w:val="20"/>
        </w:rPr>
        <w:t>:</w:t>
      </w:r>
      <w:r w:rsidR="006278DE" w:rsidRPr="006278DE">
        <w:rPr>
          <w:rStyle w:val="normaltextrun"/>
          <w:rFonts w:ascii="Times New Roman" w:hAnsi="Times New Roman" w:cs="Times New Roman"/>
          <w:sz w:val="20"/>
          <w:szCs w:val="20"/>
        </w:rPr>
        <w:t xml:space="preserve"> Los resultados muestran que los maestros en formación progresan en la identificación de conflictos y que plantean sugerencias de mejora para incrementar la idoneidad didáctica en las distintas facetas, pero que no son suficientemente específicos cuando describen propuestas efectivas de solución a conflictos, especialmente en las facetas epistémica y cognitiva.</w:t>
      </w:r>
      <w:r w:rsidR="006278DE">
        <w:rPr>
          <w:rStyle w:val="normaltextrun"/>
          <w:rFonts w:ascii="Times New Roman" w:hAnsi="Times New Roman" w:cs="Times New Roman"/>
          <w:sz w:val="20"/>
          <w:szCs w:val="20"/>
        </w:rPr>
        <w:t xml:space="preserve"> </w:t>
      </w:r>
      <w:r w:rsidRPr="006278DE">
        <w:rPr>
          <w:rStyle w:val="normaltextrun"/>
          <w:rFonts w:ascii="Times New Roman" w:hAnsi="Times New Roman" w:cs="Times New Roman"/>
          <w:b/>
          <w:bCs/>
          <w:sz w:val="20"/>
          <w:szCs w:val="20"/>
        </w:rPr>
        <w:t>Conclusion</w:t>
      </w:r>
      <w:r w:rsidR="006278DE">
        <w:rPr>
          <w:rStyle w:val="normaltextrun"/>
          <w:rFonts w:ascii="Times New Roman" w:hAnsi="Times New Roman" w:cs="Times New Roman"/>
          <w:b/>
          <w:bCs/>
          <w:sz w:val="20"/>
          <w:szCs w:val="20"/>
        </w:rPr>
        <w:t>e</w:t>
      </w:r>
      <w:r w:rsidRPr="006278DE">
        <w:rPr>
          <w:rStyle w:val="normaltextrun"/>
          <w:rFonts w:ascii="Times New Roman" w:hAnsi="Times New Roman" w:cs="Times New Roman"/>
          <w:b/>
          <w:bCs/>
          <w:sz w:val="20"/>
          <w:szCs w:val="20"/>
        </w:rPr>
        <w:t>s</w:t>
      </w:r>
      <w:r w:rsidRPr="006278DE">
        <w:rPr>
          <w:rStyle w:val="normaltextrun"/>
          <w:rFonts w:ascii="Times New Roman" w:hAnsi="Times New Roman" w:cs="Times New Roman"/>
          <w:sz w:val="20"/>
          <w:szCs w:val="20"/>
        </w:rPr>
        <w:t xml:space="preserve">: </w:t>
      </w:r>
      <w:r w:rsidR="006278DE" w:rsidRPr="006278DE">
        <w:rPr>
          <w:rStyle w:val="normaltextrun"/>
          <w:rFonts w:ascii="Times New Roman" w:hAnsi="Times New Roman" w:cs="Times New Roman"/>
          <w:sz w:val="20"/>
          <w:szCs w:val="20"/>
        </w:rPr>
        <w:t xml:space="preserve">Para que los futuros maestros adquieran mayor competencia en el modo de uso, es necesario en reforzar </w:t>
      </w:r>
      <w:r w:rsidR="00E63AE8">
        <w:rPr>
          <w:rStyle w:val="normaltextrun"/>
          <w:rFonts w:ascii="Times New Roman" w:hAnsi="Times New Roman" w:cs="Times New Roman"/>
          <w:sz w:val="20"/>
          <w:szCs w:val="20"/>
        </w:rPr>
        <w:t>sus</w:t>
      </w:r>
      <w:r w:rsidR="006278DE" w:rsidRPr="006278DE">
        <w:rPr>
          <w:rStyle w:val="normaltextrun"/>
          <w:rFonts w:ascii="Times New Roman" w:hAnsi="Times New Roman" w:cs="Times New Roman"/>
          <w:sz w:val="20"/>
          <w:szCs w:val="20"/>
        </w:rPr>
        <w:t xml:space="preserve"> conocimientos didáctico-matemáticos </w:t>
      </w:r>
      <w:r w:rsidR="00E63AE8">
        <w:rPr>
          <w:rStyle w:val="normaltextrun"/>
          <w:rFonts w:ascii="Times New Roman" w:hAnsi="Times New Roman" w:cs="Times New Roman"/>
          <w:sz w:val="20"/>
          <w:szCs w:val="20"/>
        </w:rPr>
        <w:t xml:space="preserve">sobre la </w:t>
      </w:r>
      <w:r w:rsidR="006278DE" w:rsidRPr="006278DE">
        <w:rPr>
          <w:rStyle w:val="normaltextrun"/>
          <w:rFonts w:ascii="Times New Roman" w:hAnsi="Times New Roman" w:cs="Times New Roman"/>
          <w:sz w:val="20"/>
          <w:szCs w:val="20"/>
        </w:rPr>
        <w:t xml:space="preserve">proporcionalidad.    </w:t>
      </w:r>
    </w:p>
    <w:p w14:paraId="7D6DFC16" w14:textId="2FE1DC38" w:rsidR="00DF0D06" w:rsidRPr="007B5E6C" w:rsidRDefault="00D90F03" w:rsidP="007B5E6C">
      <w:pPr>
        <w:ind w:firstLine="709"/>
        <w:jc w:val="both"/>
      </w:pPr>
      <w:r>
        <w:rPr>
          <w:rFonts w:ascii="Times New Roman" w:eastAsia="Times New Roman" w:hAnsi="Times New Roman" w:cs="Times New Roman"/>
          <w:b/>
          <w:bCs/>
          <w:color w:val="111111"/>
          <w:sz w:val="20"/>
          <w:szCs w:val="20"/>
        </w:rPr>
        <w:t>Palabras claves</w:t>
      </w:r>
      <w:r w:rsidRPr="00D90F03">
        <w:rPr>
          <w:rFonts w:ascii="Times New Roman" w:eastAsia="Times New Roman" w:hAnsi="Times New Roman" w:cs="Times New Roman"/>
          <w:color w:val="111111"/>
          <w:sz w:val="20"/>
          <w:szCs w:val="20"/>
        </w:rPr>
        <w:t>: formación de profesores</w:t>
      </w:r>
      <w:r>
        <w:rPr>
          <w:rFonts w:ascii="Times New Roman" w:eastAsia="Times New Roman" w:hAnsi="Times New Roman" w:cs="Times New Roman"/>
          <w:color w:val="111111"/>
          <w:sz w:val="20"/>
          <w:szCs w:val="20"/>
        </w:rPr>
        <w:t>;</w:t>
      </w:r>
      <w:r w:rsidRPr="00D90F03">
        <w:rPr>
          <w:rFonts w:ascii="Times New Roman" w:eastAsia="Times New Roman" w:hAnsi="Times New Roman" w:cs="Times New Roman"/>
          <w:color w:val="111111"/>
          <w:sz w:val="20"/>
          <w:szCs w:val="20"/>
        </w:rPr>
        <w:t xml:space="preserve"> análisis e intervención didáctica</w:t>
      </w:r>
      <w:r>
        <w:rPr>
          <w:rFonts w:ascii="Times New Roman" w:eastAsia="Times New Roman" w:hAnsi="Times New Roman" w:cs="Times New Roman"/>
          <w:color w:val="111111"/>
          <w:sz w:val="20"/>
          <w:szCs w:val="20"/>
        </w:rPr>
        <w:t>;</w:t>
      </w:r>
      <w:r w:rsidRPr="00D90F03">
        <w:rPr>
          <w:rFonts w:ascii="Times New Roman" w:eastAsia="Times New Roman" w:hAnsi="Times New Roman" w:cs="Times New Roman"/>
          <w:color w:val="111111"/>
          <w:sz w:val="20"/>
          <w:szCs w:val="20"/>
        </w:rPr>
        <w:t xml:space="preserve"> análisis de libros de texto</w:t>
      </w:r>
      <w:r>
        <w:rPr>
          <w:rFonts w:ascii="Times New Roman" w:eastAsia="Times New Roman" w:hAnsi="Times New Roman" w:cs="Times New Roman"/>
          <w:color w:val="111111"/>
          <w:sz w:val="20"/>
          <w:szCs w:val="20"/>
        </w:rPr>
        <w:t>;</w:t>
      </w:r>
      <w:r w:rsidRPr="00D90F03">
        <w:rPr>
          <w:rFonts w:ascii="Times New Roman" w:eastAsia="Times New Roman" w:hAnsi="Times New Roman" w:cs="Times New Roman"/>
          <w:color w:val="111111"/>
          <w:sz w:val="20"/>
          <w:szCs w:val="20"/>
        </w:rPr>
        <w:t xml:space="preserve"> proporcionalidad</w:t>
      </w:r>
      <w:r>
        <w:rPr>
          <w:rFonts w:ascii="Times New Roman" w:eastAsia="Times New Roman" w:hAnsi="Times New Roman" w:cs="Times New Roman"/>
          <w:color w:val="111111"/>
          <w:sz w:val="20"/>
          <w:szCs w:val="20"/>
        </w:rPr>
        <w:t>.</w:t>
      </w:r>
    </w:p>
    <w:p w14:paraId="0CDCF16E" w14:textId="77777777" w:rsidR="00DF0D06" w:rsidRPr="006278DE" w:rsidRDefault="00DF0D06" w:rsidP="235DF6B6">
      <w:pPr>
        <w:ind w:firstLine="709"/>
        <w:rPr>
          <w:rFonts w:ascii="Times New Roman" w:eastAsia="Times New Roman" w:hAnsi="Times New Roman" w:cs="Times New Roman"/>
          <w:b/>
          <w:bCs/>
        </w:rPr>
      </w:pPr>
    </w:p>
    <w:p w14:paraId="41D54082" w14:textId="7F6CD2B9" w:rsidR="235DF6B6" w:rsidRPr="00DF1548" w:rsidRDefault="235DF6B6" w:rsidP="235DF6B6">
      <w:pPr>
        <w:ind w:firstLine="709"/>
        <w:rPr>
          <w:sz w:val="22"/>
          <w:szCs w:val="22"/>
          <w:lang w:val="en-US"/>
        </w:rPr>
      </w:pPr>
      <w:r w:rsidRPr="00DF1548">
        <w:rPr>
          <w:rFonts w:ascii="Times New Roman" w:eastAsia="Times New Roman" w:hAnsi="Times New Roman" w:cs="Times New Roman"/>
          <w:b/>
          <w:bCs/>
          <w:lang w:val="en-US"/>
        </w:rPr>
        <w:t>ABSTRACT</w:t>
      </w:r>
    </w:p>
    <w:p w14:paraId="5BE4508C" w14:textId="1A51636C" w:rsidR="235DF6B6" w:rsidRPr="006456F4" w:rsidRDefault="007B072B" w:rsidP="235DF6B6">
      <w:pPr>
        <w:ind w:firstLine="709"/>
        <w:jc w:val="both"/>
        <w:rPr>
          <w:rFonts w:ascii="Times New Roman" w:hAnsi="Times New Roman" w:cs="Times New Roman"/>
          <w:sz w:val="20"/>
          <w:szCs w:val="20"/>
          <w:lang w:val="en-GB"/>
        </w:rPr>
      </w:pPr>
      <w:r w:rsidRPr="006456F4">
        <w:rPr>
          <w:rStyle w:val="normaltextrun"/>
          <w:rFonts w:ascii="Times New Roman" w:hAnsi="Times New Roman" w:cs="Times New Roman"/>
          <w:b/>
          <w:bCs/>
          <w:sz w:val="20"/>
          <w:szCs w:val="20"/>
          <w:lang w:val="en-GB"/>
        </w:rPr>
        <w:t>Background</w:t>
      </w:r>
      <w:r w:rsidRPr="006456F4">
        <w:rPr>
          <w:rStyle w:val="normaltextrun"/>
          <w:rFonts w:ascii="Times New Roman" w:hAnsi="Times New Roman" w:cs="Times New Roman"/>
          <w:sz w:val="20"/>
          <w:szCs w:val="20"/>
          <w:lang w:val="en-GB"/>
        </w:rPr>
        <w:t>:</w:t>
      </w:r>
      <w:r w:rsidR="00E73FB8" w:rsidRPr="006456F4">
        <w:rPr>
          <w:lang w:val="en-GB"/>
        </w:rPr>
        <w:t xml:space="preserve"> </w:t>
      </w:r>
      <w:r w:rsidR="00E73FB8" w:rsidRPr="006456F4">
        <w:rPr>
          <w:rStyle w:val="normaltextrun"/>
          <w:rFonts w:ascii="Times New Roman" w:hAnsi="Times New Roman" w:cs="Times New Roman"/>
          <w:sz w:val="20"/>
          <w:szCs w:val="20"/>
          <w:lang w:val="en-GB"/>
        </w:rPr>
        <w:t xml:space="preserve">Being able to assess what is happening in a teaching-learning process is one of the essential teacher competences. Teachers often </w:t>
      </w:r>
      <w:proofErr w:type="gramStart"/>
      <w:r w:rsidR="00E73FB8" w:rsidRPr="006456F4">
        <w:rPr>
          <w:rStyle w:val="normaltextrun"/>
          <w:rFonts w:ascii="Times New Roman" w:hAnsi="Times New Roman" w:cs="Times New Roman"/>
          <w:sz w:val="20"/>
          <w:szCs w:val="20"/>
          <w:lang w:val="en-GB"/>
        </w:rPr>
        <w:t>have to</w:t>
      </w:r>
      <w:proofErr w:type="gramEnd"/>
      <w:r w:rsidR="00E73FB8" w:rsidRPr="006456F4">
        <w:rPr>
          <w:rStyle w:val="normaltextrun"/>
          <w:rFonts w:ascii="Times New Roman" w:hAnsi="Times New Roman" w:cs="Times New Roman"/>
          <w:sz w:val="20"/>
          <w:szCs w:val="20"/>
          <w:lang w:val="en-GB"/>
        </w:rPr>
        <w:t xml:space="preserve"> analyse and select the educational resources they consider relevant for their students. Since textbooks are an important tool for instructional design, the teacher must be able to analyse their suitability, identify limitations and make adaptations to meet the needs of his or her students</w:t>
      </w:r>
      <w:r w:rsidR="006278DE" w:rsidRPr="006456F4">
        <w:rPr>
          <w:rStyle w:val="normaltextrun"/>
          <w:rFonts w:ascii="Times New Roman" w:hAnsi="Times New Roman" w:cs="Times New Roman"/>
          <w:sz w:val="20"/>
          <w:szCs w:val="20"/>
          <w:lang w:val="en-GB"/>
        </w:rPr>
        <w:t xml:space="preserve">. </w:t>
      </w:r>
      <w:r w:rsidRPr="006456F4">
        <w:rPr>
          <w:rStyle w:val="normaltextrun"/>
          <w:rFonts w:ascii="Times New Roman" w:hAnsi="Times New Roman" w:cs="Times New Roman"/>
          <w:b/>
          <w:bCs/>
          <w:sz w:val="20"/>
          <w:szCs w:val="20"/>
          <w:lang w:val="en-GB"/>
        </w:rPr>
        <w:t>Objectives</w:t>
      </w:r>
      <w:r w:rsidRPr="006456F4">
        <w:rPr>
          <w:rStyle w:val="normaltextrun"/>
          <w:rFonts w:ascii="Times New Roman" w:hAnsi="Times New Roman" w:cs="Times New Roman"/>
          <w:sz w:val="20"/>
          <w:szCs w:val="20"/>
          <w:lang w:val="en-GB"/>
        </w:rPr>
        <w:t xml:space="preserve">: </w:t>
      </w:r>
      <w:r w:rsidR="007520C4" w:rsidRPr="006456F4">
        <w:rPr>
          <w:rStyle w:val="normaltextrun"/>
          <w:rFonts w:ascii="Times New Roman" w:hAnsi="Times New Roman" w:cs="Times New Roman"/>
          <w:sz w:val="20"/>
          <w:szCs w:val="20"/>
          <w:lang w:val="en-GB"/>
        </w:rPr>
        <w:t>This paper describes the design, implementation, and results of a training action with prospective primary education teachers, aimed at the development of competence for the analysis, identification of conflicts and proposals for the management of textbook lessons, particularly the content of proportionality.</w:t>
      </w:r>
      <w:r w:rsidR="006278DE" w:rsidRPr="006456F4">
        <w:rPr>
          <w:rStyle w:val="normaltextrun"/>
          <w:rFonts w:ascii="Times New Roman" w:hAnsi="Times New Roman" w:cs="Times New Roman"/>
          <w:sz w:val="20"/>
          <w:szCs w:val="20"/>
          <w:lang w:val="en-GB"/>
        </w:rPr>
        <w:t xml:space="preserve"> </w:t>
      </w:r>
      <w:r w:rsidRPr="006456F4">
        <w:rPr>
          <w:rStyle w:val="normaltextrun"/>
          <w:rFonts w:ascii="Times New Roman" w:hAnsi="Times New Roman" w:cs="Times New Roman"/>
          <w:b/>
          <w:bCs/>
          <w:sz w:val="20"/>
          <w:szCs w:val="20"/>
          <w:lang w:val="en-GB"/>
        </w:rPr>
        <w:t>Design</w:t>
      </w:r>
      <w:r w:rsidR="007520C4" w:rsidRPr="006456F4">
        <w:rPr>
          <w:rStyle w:val="normaltextrun"/>
          <w:rFonts w:ascii="Times New Roman" w:hAnsi="Times New Roman" w:cs="Times New Roman"/>
          <w:sz w:val="20"/>
          <w:szCs w:val="20"/>
          <w:lang w:val="en-GB"/>
        </w:rPr>
        <w:t xml:space="preserve">: The research is interpretative and exploratory, using content analysis to </w:t>
      </w:r>
      <w:r w:rsidR="007520C4" w:rsidRPr="006456F4">
        <w:rPr>
          <w:rStyle w:val="normaltextrun"/>
          <w:rFonts w:ascii="Times New Roman" w:hAnsi="Times New Roman" w:cs="Times New Roman"/>
          <w:sz w:val="20"/>
          <w:szCs w:val="20"/>
          <w:lang w:val="en-GB"/>
        </w:rPr>
        <w:lastRenderedPageBreak/>
        <w:t>examine the participants' response protocols</w:t>
      </w:r>
      <w:r w:rsidR="006278DE" w:rsidRPr="006456F4">
        <w:rPr>
          <w:rStyle w:val="normaltextrun"/>
          <w:rFonts w:ascii="Times New Roman" w:hAnsi="Times New Roman" w:cs="Times New Roman"/>
          <w:sz w:val="20"/>
          <w:szCs w:val="20"/>
          <w:lang w:val="en-GB"/>
        </w:rPr>
        <w:t>.</w:t>
      </w:r>
      <w:r w:rsidR="007520C4" w:rsidRPr="006456F4">
        <w:rPr>
          <w:rStyle w:val="normaltextrun"/>
          <w:rFonts w:ascii="Times New Roman" w:hAnsi="Times New Roman" w:cs="Times New Roman"/>
          <w:sz w:val="20"/>
          <w:szCs w:val="20"/>
          <w:lang w:val="en-GB"/>
        </w:rPr>
        <w:t xml:space="preserve"> </w:t>
      </w:r>
      <w:r w:rsidRPr="006456F4">
        <w:rPr>
          <w:rStyle w:val="normaltextrun"/>
          <w:rFonts w:ascii="Times New Roman" w:hAnsi="Times New Roman" w:cs="Times New Roman"/>
          <w:b/>
          <w:bCs/>
          <w:sz w:val="20"/>
          <w:szCs w:val="20"/>
          <w:lang w:val="en-GB"/>
        </w:rPr>
        <w:t>Setting and Participants</w:t>
      </w:r>
      <w:r w:rsidRPr="006456F4">
        <w:rPr>
          <w:rStyle w:val="normaltextrun"/>
          <w:rFonts w:ascii="Times New Roman" w:hAnsi="Times New Roman" w:cs="Times New Roman"/>
          <w:sz w:val="20"/>
          <w:szCs w:val="20"/>
          <w:lang w:val="en-GB"/>
        </w:rPr>
        <w:t>:</w:t>
      </w:r>
      <w:r w:rsidR="007520C4" w:rsidRPr="006456F4">
        <w:rPr>
          <w:rStyle w:val="normaltextrun"/>
          <w:rFonts w:ascii="Times New Roman" w:hAnsi="Times New Roman" w:cs="Times New Roman"/>
          <w:sz w:val="20"/>
          <w:szCs w:val="20"/>
          <w:lang w:val="en-GB"/>
        </w:rPr>
        <w:t xml:space="preserve"> The experience was carried out in the framework of the Primary Education grade; the sample consisted of 48 students</w:t>
      </w:r>
      <w:r w:rsidRPr="006456F4">
        <w:rPr>
          <w:rStyle w:val="normaltextrun"/>
          <w:rFonts w:ascii="Times New Roman" w:hAnsi="Times New Roman" w:cs="Times New Roman"/>
          <w:sz w:val="20"/>
          <w:szCs w:val="20"/>
          <w:lang w:val="en-GB"/>
        </w:rPr>
        <w:t xml:space="preserve">. </w:t>
      </w:r>
      <w:r w:rsidRPr="006456F4">
        <w:rPr>
          <w:rStyle w:val="normaltextrun"/>
          <w:rFonts w:ascii="Times New Roman" w:hAnsi="Times New Roman" w:cs="Times New Roman"/>
          <w:b/>
          <w:bCs/>
          <w:sz w:val="20"/>
          <w:szCs w:val="20"/>
          <w:lang w:val="en-GB"/>
        </w:rPr>
        <w:t>Results</w:t>
      </w:r>
      <w:r w:rsidRPr="006456F4">
        <w:rPr>
          <w:rStyle w:val="normaltextrun"/>
          <w:rFonts w:ascii="Times New Roman" w:hAnsi="Times New Roman" w:cs="Times New Roman"/>
          <w:sz w:val="20"/>
          <w:szCs w:val="20"/>
          <w:lang w:val="en-GB"/>
        </w:rPr>
        <w:t>:</w:t>
      </w:r>
      <w:r w:rsidR="007520C4" w:rsidRPr="006456F4">
        <w:rPr>
          <w:rStyle w:val="normaltextrun"/>
          <w:rFonts w:ascii="Times New Roman" w:hAnsi="Times New Roman" w:cs="Times New Roman"/>
          <w:sz w:val="20"/>
          <w:szCs w:val="20"/>
          <w:lang w:val="en-GB"/>
        </w:rPr>
        <w:t xml:space="preserve"> The results show that trainee teachers make progress in identifying conflicts and make suggestions for improvement to increase didactic suitability in the different facets, but that they are not specific enough when describing effective conflict resolution proposals, especially in the epistemic and cognitive facets.</w:t>
      </w:r>
      <w:r w:rsidRPr="006456F4">
        <w:rPr>
          <w:rStyle w:val="normaltextrun"/>
          <w:rFonts w:ascii="Times New Roman" w:hAnsi="Times New Roman" w:cs="Times New Roman"/>
          <w:sz w:val="20"/>
          <w:szCs w:val="20"/>
          <w:lang w:val="en-GB"/>
        </w:rPr>
        <w:t xml:space="preserve"> </w:t>
      </w:r>
      <w:r w:rsidRPr="006456F4">
        <w:rPr>
          <w:rStyle w:val="normaltextrun"/>
          <w:rFonts w:ascii="Times New Roman" w:hAnsi="Times New Roman" w:cs="Times New Roman"/>
          <w:b/>
          <w:bCs/>
          <w:sz w:val="20"/>
          <w:szCs w:val="20"/>
          <w:lang w:val="en-GB"/>
        </w:rPr>
        <w:t>Conclusions</w:t>
      </w:r>
      <w:r w:rsidRPr="006456F4">
        <w:rPr>
          <w:rStyle w:val="normaltextrun"/>
          <w:rFonts w:ascii="Times New Roman" w:hAnsi="Times New Roman" w:cs="Times New Roman"/>
          <w:sz w:val="20"/>
          <w:szCs w:val="20"/>
          <w:lang w:val="en-GB"/>
        </w:rPr>
        <w:t>:</w:t>
      </w:r>
      <w:r w:rsidR="007520C4" w:rsidRPr="006456F4">
        <w:rPr>
          <w:lang w:val="en-GB"/>
        </w:rPr>
        <w:t xml:space="preserve"> </w:t>
      </w:r>
      <w:r w:rsidR="007520C4" w:rsidRPr="006456F4">
        <w:rPr>
          <w:rStyle w:val="normaltextrun"/>
          <w:rFonts w:ascii="Times New Roman" w:hAnsi="Times New Roman" w:cs="Times New Roman"/>
          <w:sz w:val="20"/>
          <w:szCs w:val="20"/>
          <w:lang w:val="en-GB"/>
        </w:rPr>
        <w:t>For future teachers to become more proficient in the mode of use, it is necessary to reinforce their didactical-mathematical knowledge of proportionality.</w:t>
      </w:r>
    </w:p>
    <w:p w14:paraId="036B44AB" w14:textId="760E0CEA" w:rsidR="235DF6B6" w:rsidRPr="006456F4" w:rsidRDefault="235DF6B6" w:rsidP="235DF6B6">
      <w:pPr>
        <w:ind w:firstLine="709"/>
        <w:jc w:val="both"/>
        <w:rPr>
          <w:lang w:val="en-GB"/>
        </w:rPr>
      </w:pPr>
      <w:r w:rsidRPr="006456F4">
        <w:rPr>
          <w:rFonts w:ascii="Times New Roman" w:eastAsia="Times New Roman" w:hAnsi="Times New Roman" w:cs="Times New Roman"/>
          <w:b/>
          <w:bCs/>
          <w:color w:val="111111"/>
          <w:sz w:val="20"/>
          <w:szCs w:val="20"/>
          <w:lang w:val="en-GB"/>
        </w:rPr>
        <w:t>Keywords</w:t>
      </w:r>
      <w:r w:rsidRPr="006456F4">
        <w:rPr>
          <w:rFonts w:ascii="Times New Roman" w:eastAsia="Times New Roman" w:hAnsi="Times New Roman" w:cs="Times New Roman"/>
          <w:color w:val="111111"/>
          <w:sz w:val="20"/>
          <w:szCs w:val="20"/>
          <w:lang w:val="en-GB"/>
        </w:rPr>
        <w:t xml:space="preserve">: </w:t>
      </w:r>
      <w:r w:rsidR="007520C4" w:rsidRPr="006456F4">
        <w:rPr>
          <w:rFonts w:ascii="Times New Roman" w:eastAsia="Times New Roman" w:hAnsi="Times New Roman" w:cs="Times New Roman"/>
          <w:color w:val="111111"/>
          <w:sz w:val="20"/>
          <w:szCs w:val="20"/>
          <w:lang w:val="en-GB"/>
        </w:rPr>
        <w:t>teacher training; didactical analysis and intervention; textbook analysis; proportionality.</w:t>
      </w:r>
    </w:p>
    <w:p w14:paraId="2F187D54" w14:textId="3B2ED96C" w:rsidR="235DF6B6" w:rsidRPr="00DF1548" w:rsidRDefault="235DF6B6" w:rsidP="235DF6B6">
      <w:pPr>
        <w:jc w:val="center"/>
        <w:rPr>
          <w:rFonts w:ascii="Times New Roman" w:eastAsia="Times New Roman" w:hAnsi="Times New Roman" w:cs="Times New Roman"/>
          <w:b/>
          <w:bCs/>
          <w:sz w:val="20"/>
          <w:szCs w:val="20"/>
          <w:lang w:val="en-US"/>
        </w:rPr>
      </w:pPr>
    </w:p>
    <w:p w14:paraId="43AE89A6" w14:textId="0BB51BBC" w:rsidR="00DF0D06" w:rsidRPr="006456F4" w:rsidRDefault="006456F4" w:rsidP="004E23BD">
      <w:pPr>
        <w:spacing w:line="360" w:lineRule="auto"/>
        <w:jc w:val="center"/>
        <w:rPr>
          <w:sz w:val="20"/>
          <w:szCs w:val="20"/>
          <w:lang w:val="pt-BR"/>
        </w:rPr>
      </w:pPr>
      <w:r w:rsidRPr="006456F4">
        <w:rPr>
          <w:rFonts w:ascii="Times New Roman" w:eastAsia="Times New Roman" w:hAnsi="Times New Roman" w:cs="Times New Roman"/>
          <w:b/>
          <w:bCs/>
          <w:sz w:val="20"/>
          <w:szCs w:val="20"/>
          <w:lang w:val="pt-BR"/>
        </w:rPr>
        <w:t>Competência de análise e reflexão sobre a gestão de aulas de livros didáticos por professores estagiários</w:t>
      </w:r>
    </w:p>
    <w:p w14:paraId="5F7442EB" w14:textId="77777777" w:rsidR="004E23BD" w:rsidRPr="006456F4" w:rsidRDefault="004E23BD" w:rsidP="004E23BD">
      <w:pPr>
        <w:spacing w:line="360" w:lineRule="auto"/>
        <w:jc w:val="center"/>
        <w:rPr>
          <w:sz w:val="20"/>
          <w:szCs w:val="20"/>
          <w:lang w:val="pt-BR"/>
        </w:rPr>
      </w:pPr>
    </w:p>
    <w:p w14:paraId="4590FEE8" w14:textId="5058C1D9" w:rsidR="235DF6B6" w:rsidRPr="006456F4" w:rsidRDefault="235DF6B6" w:rsidP="235DF6B6">
      <w:pPr>
        <w:ind w:firstLine="709"/>
        <w:rPr>
          <w:sz w:val="22"/>
          <w:szCs w:val="22"/>
          <w:lang w:val="pt-BR"/>
        </w:rPr>
      </w:pPr>
      <w:r w:rsidRPr="006456F4">
        <w:rPr>
          <w:rFonts w:ascii="Times New Roman" w:eastAsia="Times New Roman" w:hAnsi="Times New Roman" w:cs="Times New Roman"/>
          <w:b/>
          <w:bCs/>
          <w:lang w:val="pt-BR"/>
        </w:rPr>
        <w:t>RESUMO</w:t>
      </w:r>
    </w:p>
    <w:p w14:paraId="6A5EB14C" w14:textId="2E51036C" w:rsidR="235DF6B6" w:rsidRPr="007A5CE8" w:rsidRDefault="00DC4C38" w:rsidP="007A5CE8">
      <w:pPr>
        <w:ind w:firstLine="709"/>
        <w:jc w:val="both"/>
        <w:rPr>
          <w:rFonts w:ascii="Times New Roman" w:eastAsia="Times New Roman" w:hAnsi="Times New Roman" w:cs="Times New Roman"/>
          <w:sz w:val="20"/>
          <w:szCs w:val="20"/>
          <w:lang w:val="pt-BR"/>
        </w:rPr>
      </w:pPr>
      <w:r w:rsidRPr="006456F4">
        <w:rPr>
          <w:rFonts w:ascii="Times New Roman" w:eastAsia="Times New Roman" w:hAnsi="Times New Roman" w:cs="Times New Roman"/>
          <w:b/>
          <w:sz w:val="20"/>
          <w:szCs w:val="20"/>
          <w:lang w:val="pt-BR"/>
        </w:rPr>
        <w:t>Contexto</w:t>
      </w:r>
      <w:r w:rsidRPr="006456F4">
        <w:rPr>
          <w:rFonts w:ascii="Times New Roman" w:eastAsia="Times New Roman" w:hAnsi="Times New Roman" w:cs="Times New Roman"/>
          <w:sz w:val="20"/>
          <w:szCs w:val="20"/>
          <w:lang w:val="pt-BR"/>
        </w:rPr>
        <w:t>:</w:t>
      </w:r>
      <w:r w:rsidR="007A5CE8" w:rsidRPr="007A5CE8">
        <w:rPr>
          <w:lang w:val="pt-BR"/>
        </w:rPr>
        <w:t xml:space="preserve"> </w:t>
      </w:r>
      <w:r w:rsidR="007A5CE8" w:rsidRPr="007A5CE8">
        <w:rPr>
          <w:rFonts w:ascii="Times New Roman" w:eastAsia="Times New Roman" w:hAnsi="Times New Roman" w:cs="Times New Roman"/>
          <w:sz w:val="20"/>
          <w:szCs w:val="20"/>
          <w:lang w:val="pt-BR"/>
        </w:rPr>
        <w:t>Ser capaz de avaliar o que acontece em um processo de ensino-aprendizagem é uma das competências essenciais do professor. Os professores devem analisar e selecionar os recursos educacionais que consideram relevantes para seus alunos. Como os livros didáticos são um recurso importante para o projeto instrucional, o professor deve ser capaz de analisar sua adequação, identificar limitações e fazer adaptações para atender às necessidades de seus alunos.</w:t>
      </w:r>
      <w:r w:rsidR="007A5CE8" w:rsidRPr="007A5CE8">
        <w:rPr>
          <w:lang w:val="pt-BR"/>
        </w:rPr>
        <w:t xml:space="preserve"> </w:t>
      </w:r>
      <w:r w:rsidR="007A5CE8">
        <w:rPr>
          <w:rFonts w:ascii="Times New Roman" w:eastAsia="Times New Roman" w:hAnsi="Times New Roman" w:cs="Times New Roman"/>
          <w:b/>
          <w:sz w:val="20"/>
          <w:szCs w:val="20"/>
          <w:lang w:val="pt-BR"/>
        </w:rPr>
        <w:t>Objetivos</w:t>
      </w:r>
      <w:r w:rsidR="007A5CE8" w:rsidRPr="006456F4">
        <w:rPr>
          <w:rFonts w:ascii="Times New Roman" w:eastAsia="Times New Roman" w:hAnsi="Times New Roman" w:cs="Times New Roman"/>
          <w:sz w:val="20"/>
          <w:szCs w:val="20"/>
          <w:lang w:val="pt-BR"/>
        </w:rPr>
        <w:t>:</w:t>
      </w:r>
      <w:r w:rsidR="007A5CE8">
        <w:rPr>
          <w:rFonts w:ascii="Times New Roman" w:eastAsia="Times New Roman" w:hAnsi="Times New Roman" w:cs="Times New Roman"/>
          <w:sz w:val="20"/>
          <w:szCs w:val="20"/>
          <w:lang w:val="pt-BR"/>
        </w:rPr>
        <w:t xml:space="preserve"> </w:t>
      </w:r>
      <w:r w:rsidR="007A5CE8" w:rsidRPr="007A5CE8">
        <w:rPr>
          <w:rFonts w:ascii="Times New Roman" w:eastAsia="Times New Roman" w:hAnsi="Times New Roman" w:cs="Times New Roman"/>
          <w:sz w:val="20"/>
          <w:szCs w:val="20"/>
          <w:lang w:val="pt-BR"/>
        </w:rPr>
        <w:t xml:space="preserve">Descrevemos a concepção, implementação e resultados de uma ação de treinamento com professores estagiários, orientada para o desenvolvimento da competência para a análise, identificação de conflitos e propostas para a gestão de lições em livros didáticos, particularmente no que diz respeito ao conteúdo da proporcionalidade. </w:t>
      </w:r>
      <w:r w:rsidR="007A5CE8">
        <w:rPr>
          <w:rFonts w:ascii="Times New Roman" w:eastAsia="Times New Roman" w:hAnsi="Times New Roman" w:cs="Times New Roman"/>
          <w:sz w:val="20"/>
          <w:szCs w:val="20"/>
          <w:lang w:val="pt-BR"/>
        </w:rPr>
        <w:t xml:space="preserve"> </w:t>
      </w:r>
      <w:r w:rsidRPr="006456F4">
        <w:rPr>
          <w:rFonts w:ascii="Times New Roman" w:eastAsia="Times New Roman" w:hAnsi="Times New Roman" w:cs="Times New Roman"/>
          <w:b/>
          <w:sz w:val="20"/>
          <w:szCs w:val="20"/>
          <w:lang w:val="pt-BR"/>
        </w:rPr>
        <w:t>Design</w:t>
      </w:r>
      <w:r w:rsidRPr="006456F4">
        <w:rPr>
          <w:rFonts w:ascii="Times New Roman" w:eastAsia="Times New Roman" w:hAnsi="Times New Roman" w:cs="Times New Roman"/>
          <w:sz w:val="20"/>
          <w:szCs w:val="20"/>
          <w:lang w:val="pt-BR"/>
        </w:rPr>
        <w:t>:</w:t>
      </w:r>
      <w:r w:rsidR="007A5CE8">
        <w:rPr>
          <w:lang w:val="pt-BR"/>
        </w:rPr>
        <w:t xml:space="preserve"> </w:t>
      </w:r>
      <w:r w:rsidR="007A5CE8" w:rsidRPr="007A5CE8">
        <w:rPr>
          <w:rFonts w:ascii="Times New Roman" w:eastAsia="Times New Roman" w:hAnsi="Times New Roman" w:cs="Times New Roman"/>
          <w:sz w:val="20"/>
          <w:szCs w:val="20"/>
          <w:lang w:val="pt-BR"/>
        </w:rPr>
        <w:t>A pesquisa é interpretativa e exploratória, utilizando análise de conteúdo para examinar os protocolos de resposta dos participantes.</w:t>
      </w:r>
      <w:r w:rsidRPr="006456F4">
        <w:rPr>
          <w:rFonts w:ascii="Times New Roman" w:eastAsia="Times New Roman" w:hAnsi="Times New Roman" w:cs="Times New Roman"/>
          <w:sz w:val="20"/>
          <w:szCs w:val="20"/>
          <w:lang w:val="pt-BR"/>
        </w:rPr>
        <w:t xml:space="preserve"> </w:t>
      </w:r>
      <w:r w:rsidRPr="006456F4">
        <w:rPr>
          <w:rFonts w:ascii="Times New Roman" w:eastAsia="Times New Roman" w:hAnsi="Times New Roman" w:cs="Times New Roman"/>
          <w:b/>
          <w:sz w:val="20"/>
          <w:szCs w:val="20"/>
          <w:lang w:val="pt-BR"/>
        </w:rPr>
        <w:t>Coleta e análise de dados</w:t>
      </w:r>
      <w:r w:rsidRPr="006456F4">
        <w:rPr>
          <w:rFonts w:ascii="Times New Roman" w:eastAsia="Times New Roman" w:hAnsi="Times New Roman" w:cs="Times New Roman"/>
          <w:sz w:val="20"/>
          <w:szCs w:val="20"/>
          <w:lang w:val="pt-BR"/>
        </w:rPr>
        <w:t>:</w:t>
      </w:r>
      <w:r w:rsidR="007A5CE8" w:rsidRPr="007A5CE8">
        <w:rPr>
          <w:lang w:val="pt-BR"/>
        </w:rPr>
        <w:t xml:space="preserve"> </w:t>
      </w:r>
      <w:r w:rsidR="007A5CE8" w:rsidRPr="007A5CE8">
        <w:rPr>
          <w:rFonts w:ascii="Times New Roman" w:eastAsia="Times New Roman" w:hAnsi="Times New Roman" w:cs="Times New Roman"/>
          <w:sz w:val="20"/>
          <w:szCs w:val="20"/>
          <w:lang w:val="pt-BR"/>
        </w:rPr>
        <w:t>As informações foram coletadas das notas do observador/pesquisador e das respostas dos participantes à tarefa de avaliação proposta</w:t>
      </w:r>
      <w:r w:rsidRPr="006456F4">
        <w:rPr>
          <w:rFonts w:ascii="Times New Roman" w:eastAsia="Times New Roman" w:hAnsi="Times New Roman" w:cs="Times New Roman"/>
          <w:sz w:val="20"/>
          <w:szCs w:val="20"/>
          <w:lang w:val="pt-BR"/>
        </w:rPr>
        <w:t xml:space="preserve">. </w:t>
      </w:r>
      <w:r w:rsidRPr="006456F4">
        <w:rPr>
          <w:rFonts w:ascii="Times New Roman" w:eastAsia="Times New Roman" w:hAnsi="Times New Roman" w:cs="Times New Roman"/>
          <w:b/>
          <w:sz w:val="20"/>
          <w:szCs w:val="20"/>
          <w:lang w:val="pt-BR"/>
        </w:rPr>
        <w:t>Resultados</w:t>
      </w:r>
      <w:r w:rsidRPr="006456F4">
        <w:rPr>
          <w:rFonts w:ascii="Times New Roman" w:eastAsia="Times New Roman" w:hAnsi="Times New Roman" w:cs="Times New Roman"/>
          <w:sz w:val="20"/>
          <w:szCs w:val="20"/>
          <w:lang w:val="pt-BR"/>
        </w:rPr>
        <w:t>:</w:t>
      </w:r>
      <w:r w:rsidR="007A5CE8" w:rsidRPr="007A5CE8">
        <w:rPr>
          <w:lang w:val="pt-BR"/>
        </w:rPr>
        <w:t xml:space="preserve"> </w:t>
      </w:r>
      <w:r w:rsidR="007A5CE8" w:rsidRPr="007A5CE8">
        <w:rPr>
          <w:rFonts w:ascii="Times New Roman" w:eastAsia="Times New Roman" w:hAnsi="Times New Roman" w:cs="Times New Roman"/>
          <w:sz w:val="20"/>
          <w:szCs w:val="20"/>
          <w:lang w:val="pt-BR"/>
        </w:rPr>
        <w:t>Os resultados mostram que os professores estagiários fazem progressos na identificação de conflitos e fazem sugestões de melhorias para aumentar a adequação didática nas diferentes facetas, mas não são suficientemente específicos ao descrever propostas eficazes de resolução de conflitos, especialmente nas facetas epistêmica e cognitiva</w:t>
      </w:r>
      <w:r w:rsidR="00643906" w:rsidRPr="006456F4">
        <w:rPr>
          <w:rFonts w:ascii="Times New Roman" w:eastAsia="Times New Roman" w:hAnsi="Times New Roman" w:cs="Times New Roman"/>
          <w:sz w:val="20"/>
          <w:szCs w:val="20"/>
          <w:lang w:val="pt-BR"/>
        </w:rPr>
        <w:t>.</w:t>
      </w:r>
      <w:r w:rsidRPr="006456F4">
        <w:rPr>
          <w:rFonts w:ascii="Times New Roman" w:eastAsia="Times New Roman" w:hAnsi="Times New Roman" w:cs="Times New Roman"/>
          <w:sz w:val="20"/>
          <w:szCs w:val="20"/>
          <w:lang w:val="pt-BR"/>
        </w:rPr>
        <w:t xml:space="preserve"> </w:t>
      </w:r>
      <w:r w:rsidRPr="006456F4">
        <w:rPr>
          <w:rFonts w:ascii="Times New Roman" w:eastAsia="Times New Roman" w:hAnsi="Times New Roman" w:cs="Times New Roman"/>
          <w:b/>
          <w:sz w:val="20"/>
          <w:szCs w:val="20"/>
          <w:lang w:val="pt-BR"/>
        </w:rPr>
        <w:t>Conclusões</w:t>
      </w:r>
      <w:r w:rsidRPr="006456F4">
        <w:rPr>
          <w:rFonts w:ascii="Times New Roman" w:eastAsia="Times New Roman" w:hAnsi="Times New Roman" w:cs="Times New Roman"/>
          <w:sz w:val="20"/>
          <w:szCs w:val="20"/>
          <w:lang w:val="pt-BR"/>
        </w:rPr>
        <w:t>:</w:t>
      </w:r>
      <w:r w:rsidR="007A5CE8" w:rsidRPr="007A5CE8">
        <w:rPr>
          <w:lang w:val="pt-BR"/>
        </w:rPr>
        <w:t xml:space="preserve"> </w:t>
      </w:r>
      <w:r w:rsidR="007A5CE8" w:rsidRPr="007A5CE8">
        <w:rPr>
          <w:rFonts w:ascii="Times New Roman" w:eastAsia="Times New Roman" w:hAnsi="Times New Roman" w:cs="Times New Roman"/>
          <w:sz w:val="20"/>
          <w:szCs w:val="20"/>
          <w:lang w:val="pt-BR"/>
        </w:rPr>
        <w:t>Para que os futuros professores adquiram maior competência no modo de uso, é necessário reforçar seus conhecimentos didático-matemáticos de proporcionalidade.</w:t>
      </w:r>
    </w:p>
    <w:p w14:paraId="2857B40D" w14:textId="2D90E413" w:rsidR="235DF6B6" w:rsidRPr="006456F4" w:rsidRDefault="235DF6B6" w:rsidP="235DF6B6">
      <w:pPr>
        <w:ind w:firstLine="709"/>
        <w:rPr>
          <w:rFonts w:ascii="Times New Roman" w:eastAsia="Times New Roman" w:hAnsi="Times New Roman" w:cs="Times New Roman"/>
          <w:sz w:val="20"/>
          <w:szCs w:val="20"/>
          <w:lang w:val="pt-BR"/>
        </w:rPr>
      </w:pPr>
      <w:r w:rsidRPr="006456F4">
        <w:rPr>
          <w:rFonts w:ascii="Times New Roman" w:eastAsia="Times New Roman" w:hAnsi="Times New Roman" w:cs="Times New Roman"/>
          <w:b/>
          <w:bCs/>
          <w:sz w:val="20"/>
          <w:szCs w:val="20"/>
          <w:lang w:val="pt-BR"/>
        </w:rPr>
        <w:t>Palavras-chave</w:t>
      </w:r>
      <w:r w:rsidRPr="006456F4">
        <w:rPr>
          <w:rFonts w:ascii="Times New Roman" w:eastAsia="Times New Roman" w:hAnsi="Times New Roman" w:cs="Times New Roman"/>
          <w:sz w:val="20"/>
          <w:szCs w:val="20"/>
          <w:lang w:val="pt-BR"/>
        </w:rPr>
        <w:t>:</w:t>
      </w:r>
      <w:r w:rsidR="001F2B0E" w:rsidRPr="001F2B0E">
        <w:rPr>
          <w:lang w:val="pt-BR"/>
        </w:rPr>
        <w:t xml:space="preserve"> </w:t>
      </w:r>
      <w:r w:rsidR="001F2B0E" w:rsidRPr="001F2B0E">
        <w:rPr>
          <w:rFonts w:ascii="Times New Roman" w:eastAsia="Times New Roman" w:hAnsi="Times New Roman" w:cs="Times New Roman"/>
          <w:sz w:val="20"/>
          <w:szCs w:val="20"/>
          <w:lang w:val="pt-BR"/>
        </w:rPr>
        <w:t>treinamento de professores; análise didática e intervenção; análise de livros didáticos; proporcionalidade.</w:t>
      </w:r>
    </w:p>
    <w:p w14:paraId="7BB359E2" w14:textId="77777777" w:rsidR="00DF0D06" w:rsidRPr="0034708E" w:rsidRDefault="00DF0D06" w:rsidP="235DF6B6">
      <w:pPr>
        <w:ind w:firstLine="709"/>
        <w:rPr>
          <w:lang w:val="pt-BR"/>
        </w:rPr>
      </w:pPr>
    </w:p>
    <w:p w14:paraId="73821660" w14:textId="434A9FBE" w:rsidR="235DF6B6" w:rsidRPr="0034708E" w:rsidRDefault="235DF6B6" w:rsidP="235DF6B6">
      <w:pPr>
        <w:ind w:firstLine="709"/>
        <w:rPr>
          <w:lang w:val="pt-BR"/>
        </w:rPr>
      </w:pPr>
      <w:r w:rsidRPr="0034708E">
        <w:rPr>
          <w:rFonts w:ascii="Times New Roman" w:eastAsia="Times New Roman" w:hAnsi="Times New Roman" w:cs="Times New Roman"/>
          <w:sz w:val="20"/>
          <w:szCs w:val="20"/>
          <w:lang w:val="pt-BR"/>
        </w:rPr>
        <w:t xml:space="preserve"> </w:t>
      </w:r>
    </w:p>
    <w:p w14:paraId="6EBAE149" w14:textId="77777777" w:rsidR="007B5E6C" w:rsidRPr="00DF1548" w:rsidRDefault="007B5E6C" w:rsidP="00C72106">
      <w:pPr>
        <w:spacing w:after="120"/>
        <w:ind w:firstLine="709"/>
        <w:rPr>
          <w:rFonts w:ascii="Times New Roman" w:eastAsia="Times New Roman" w:hAnsi="Times New Roman" w:cs="Times New Roman"/>
          <w:b/>
          <w:bCs/>
          <w:lang w:val="pt-BR"/>
        </w:rPr>
      </w:pPr>
    </w:p>
    <w:p w14:paraId="1D846DF5" w14:textId="218B0E93" w:rsidR="235DF6B6" w:rsidRPr="00F21529" w:rsidRDefault="235DF6B6" w:rsidP="00C72106">
      <w:pPr>
        <w:spacing w:after="120"/>
        <w:ind w:firstLine="709"/>
        <w:rPr>
          <w:sz w:val="22"/>
          <w:szCs w:val="22"/>
        </w:rPr>
      </w:pPr>
      <w:r w:rsidRPr="00F21529">
        <w:rPr>
          <w:rFonts w:ascii="Times New Roman" w:eastAsia="Times New Roman" w:hAnsi="Times New Roman" w:cs="Times New Roman"/>
          <w:b/>
          <w:bCs/>
        </w:rPr>
        <w:lastRenderedPageBreak/>
        <w:t>INTRODUC</w:t>
      </w:r>
      <w:r w:rsidR="006E03D6">
        <w:rPr>
          <w:rFonts w:ascii="Times New Roman" w:eastAsia="Times New Roman" w:hAnsi="Times New Roman" w:cs="Times New Roman"/>
          <w:b/>
          <w:bCs/>
        </w:rPr>
        <w:t>CI</w:t>
      </w:r>
      <w:r w:rsidR="00916749">
        <w:rPr>
          <w:rFonts w:ascii="Times New Roman" w:eastAsia="Times New Roman" w:hAnsi="Times New Roman" w:cs="Times New Roman"/>
          <w:b/>
          <w:bCs/>
        </w:rPr>
        <w:t>Ó</w:t>
      </w:r>
      <w:r w:rsidRPr="00F21529">
        <w:rPr>
          <w:rFonts w:ascii="Times New Roman" w:eastAsia="Times New Roman" w:hAnsi="Times New Roman" w:cs="Times New Roman"/>
          <w:b/>
          <w:bCs/>
        </w:rPr>
        <w:t>N</w:t>
      </w:r>
    </w:p>
    <w:p w14:paraId="47237AA8" w14:textId="023258D5" w:rsidR="009F5E04" w:rsidRPr="006456F4" w:rsidRDefault="009F5E04" w:rsidP="009F5E04">
      <w:pPr>
        <w:spacing w:after="120"/>
        <w:ind w:firstLine="709"/>
        <w:jc w:val="both"/>
        <w:rPr>
          <w:rFonts w:ascii="Times New Roman" w:eastAsia="Times New Roman" w:hAnsi="Times New Roman" w:cs="Times New Roman"/>
          <w:sz w:val="22"/>
          <w:szCs w:val="22"/>
          <w:lang w:val="es-419"/>
        </w:rPr>
      </w:pPr>
      <w:r w:rsidRPr="006456F4">
        <w:rPr>
          <w:rFonts w:ascii="Times New Roman" w:eastAsia="Times New Roman" w:hAnsi="Times New Roman" w:cs="Times New Roman"/>
          <w:sz w:val="22"/>
          <w:szCs w:val="22"/>
          <w:lang w:val="es-419"/>
        </w:rPr>
        <w:t>Muchos docentes identifican los libros de textos como el saber institucional que se debe enseñar y aprender, por lo que en la planificación de los procesos de instrucción recurren a ellos como base para tomar decisiones sobre qué y cómo presentar los contenidos o qué metodología seguir (</w:t>
      </w:r>
      <w:proofErr w:type="spellStart"/>
      <w:r w:rsidRPr="006456F4">
        <w:rPr>
          <w:rFonts w:ascii="Times New Roman" w:eastAsia="Times New Roman" w:hAnsi="Times New Roman" w:cs="Times New Roman"/>
          <w:sz w:val="22"/>
          <w:szCs w:val="22"/>
          <w:lang w:val="es-419"/>
        </w:rPr>
        <w:t>Rezat</w:t>
      </w:r>
      <w:proofErr w:type="spellEnd"/>
      <w:r w:rsidRPr="006456F4">
        <w:rPr>
          <w:rFonts w:ascii="Times New Roman" w:eastAsia="Times New Roman" w:hAnsi="Times New Roman" w:cs="Times New Roman"/>
          <w:sz w:val="22"/>
          <w:szCs w:val="22"/>
          <w:lang w:val="es-419"/>
        </w:rPr>
        <w:t>, 2012; Salcedo et al., 2018). La forma en que se presenta la información en los libros de texto puede suponer un obstáculo o una oportunidad en el aprendizaje de los contenidos que se desean enseñar a los estudiantes (</w:t>
      </w:r>
      <w:proofErr w:type="spellStart"/>
      <w:r w:rsidRPr="006456F4">
        <w:rPr>
          <w:rFonts w:ascii="Times New Roman" w:eastAsia="Times New Roman" w:hAnsi="Times New Roman" w:cs="Times New Roman"/>
          <w:sz w:val="22"/>
          <w:szCs w:val="22"/>
          <w:lang w:val="es-419"/>
        </w:rPr>
        <w:t>Törnroos</w:t>
      </w:r>
      <w:proofErr w:type="spellEnd"/>
      <w:r w:rsidRPr="006456F4">
        <w:rPr>
          <w:rFonts w:ascii="Times New Roman" w:eastAsia="Times New Roman" w:hAnsi="Times New Roman" w:cs="Times New Roman"/>
          <w:sz w:val="22"/>
          <w:szCs w:val="22"/>
          <w:lang w:val="es-419"/>
        </w:rPr>
        <w:t>, 2005).  Por este motivo, diversas investigaciones estudian los modos de uso de estos materiales curriculares por parte de los docentes (</w:t>
      </w:r>
      <w:proofErr w:type="spellStart"/>
      <w:r w:rsidRPr="006456F4">
        <w:rPr>
          <w:rFonts w:ascii="Times New Roman" w:eastAsia="Times New Roman" w:hAnsi="Times New Roman" w:cs="Times New Roman"/>
          <w:sz w:val="22"/>
          <w:szCs w:val="22"/>
          <w:lang w:val="es-419"/>
        </w:rPr>
        <w:t>Remillard</w:t>
      </w:r>
      <w:proofErr w:type="spellEnd"/>
      <w:r w:rsidRPr="006456F4">
        <w:rPr>
          <w:rFonts w:ascii="Times New Roman" w:eastAsia="Times New Roman" w:hAnsi="Times New Roman" w:cs="Times New Roman"/>
          <w:sz w:val="22"/>
          <w:szCs w:val="22"/>
          <w:lang w:val="es-419"/>
        </w:rPr>
        <w:t xml:space="preserve"> y Kim, 2017; </w:t>
      </w:r>
      <w:proofErr w:type="spellStart"/>
      <w:r w:rsidRPr="006456F4">
        <w:rPr>
          <w:rFonts w:ascii="Times New Roman" w:eastAsia="Times New Roman" w:hAnsi="Times New Roman" w:cs="Times New Roman"/>
          <w:sz w:val="22"/>
          <w:szCs w:val="22"/>
          <w:lang w:val="es-419"/>
        </w:rPr>
        <w:t>Rezat</w:t>
      </w:r>
      <w:proofErr w:type="spellEnd"/>
      <w:r w:rsidRPr="006456F4">
        <w:rPr>
          <w:rFonts w:ascii="Times New Roman" w:eastAsia="Times New Roman" w:hAnsi="Times New Roman" w:cs="Times New Roman"/>
          <w:sz w:val="22"/>
          <w:szCs w:val="22"/>
          <w:lang w:val="es-419"/>
        </w:rPr>
        <w:t xml:space="preserve">, 2012; </w:t>
      </w:r>
      <w:proofErr w:type="spellStart"/>
      <w:r w:rsidRPr="006456F4">
        <w:rPr>
          <w:rFonts w:ascii="Times New Roman" w:eastAsia="Times New Roman" w:hAnsi="Times New Roman" w:cs="Times New Roman"/>
          <w:sz w:val="22"/>
          <w:szCs w:val="22"/>
          <w:lang w:val="es-419"/>
        </w:rPr>
        <w:t>Shawer</w:t>
      </w:r>
      <w:proofErr w:type="spellEnd"/>
      <w:r w:rsidRPr="006456F4">
        <w:rPr>
          <w:rFonts w:ascii="Times New Roman" w:eastAsia="Times New Roman" w:hAnsi="Times New Roman" w:cs="Times New Roman"/>
          <w:sz w:val="22"/>
          <w:szCs w:val="22"/>
          <w:lang w:val="es-419"/>
        </w:rPr>
        <w:t xml:space="preserve">, 2017). </w:t>
      </w:r>
    </w:p>
    <w:p w14:paraId="37255A25" w14:textId="77777777" w:rsidR="009F5E04" w:rsidRPr="006456F4" w:rsidRDefault="009F5E04" w:rsidP="009F5E04">
      <w:pPr>
        <w:spacing w:after="120"/>
        <w:ind w:firstLine="709"/>
        <w:jc w:val="both"/>
        <w:rPr>
          <w:rFonts w:ascii="Times New Roman" w:eastAsia="Times New Roman" w:hAnsi="Times New Roman" w:cs="Times New Roman"/>
          <w:sz w:val="22"/>
          <w:szCs w:val="22"/>
          <w:lang w:val="es-419"/>
        </w:rPr>
      </w:pPr>
      <w:r w:rsidRPr="006456F4">
        <w:rPr>
          <w:rFonts w:ascii="Times New Roman" w:eastAsia="Times New Roman" w:hAnsi="Times New Roman" w:cs="Times New Roman"/>
          <w:sz w:val="22"/>
          <w:szCs w:val="22"/>
          <w:lang w:val="es-419"/>
        </w:rPr>
        <w:t xml:space="preserve">Autores como </w:t>
      </w:r>
      <w:proofErr w:type="spellStart"/>
      <w:r w:rsidRPr="006456F4">
        <w:rPr>
          <w:rFonts w:ascii="Times New Roman" w:eastAsia="Times New Roman" w:hAnsi="Times New Roman" w:cs="Times New Roman"/>
          <w:sz w:val="22"/>
          <w:szCs w:val="22"/>
          <w:lang w:val="es-419"/>
        </w:rPr>
        <w:t>Choppin</w:t>
      </w:r>
      <w:proofErr w:type="spellEnd"/>
      <w:r w:rsidRPr="006456F4">
        <w:rPr>
          <w:rFonts w:ascii="Times New Roman" w:eastAsia="Times New Roman" w:hAnsi="Times New Roman" w:cs="Times New Roman"/>
          <w:sz w:val="22"/>
          <w:szCs w:val="22"/>
          <w:lang w:val="es-419"/>
        </w:rPr>
        <w:t xml:space="preserve"> (2011), Godino et al. (2017) o Thompson (2014) defienden la necesidad de que los profesores adquieran una posición analítica y crítica que les permita, en primer lugar, identificar debilidades o carencias presentes en el proceso instruccional propuesto por el autor del libro, y en segundo, reflexionar sobre cómo solventar las mismas. No obstante, los resultados de diversas investigaciones muestran que los profesores tienen dificultades al llevar a cabo estas acciones (Grossman y Thompson, 2008; Yang y Liu, 2019) y que, sin herramientas que los guíen en esta tarea, el análisis de textos que realizan suele ser intuitivo o parcial y carente de un enfoque crítico, que les permita tomar decisiones razonadas sobre la gestión de uso de este (Beyer y Davis, 2012).  En consecuencia, la formación de profesores debe tener en cuenta el desarrollo de competencias didácticas con relación al análisis y gestión de libros de texto, mediante el diseño e implementación de acciones formativas que incorporen instrumentos específicos. </w:t>
      </w:r>
    </w:p>
    <w:p w14:paraId="2F00127D" w14:textId="77777777" w:rsidR="009F5E04" w:rsidRPr="006456F4" w:rsidRDefault="009F5E04" w:rsidP="009F5E04">
      <w:pPr>
        <w:spacing w:after="120"/>
        <w:ind w:firstLine="709"/>
        <w:jc w:val="both"/>
        <w:rPr>
          <w:rFonts w:ascii="Times New Roman" w:eastAsia="Times New Roman" w:hAnsi="Times New Roman" w:cs="Times New Roman"/>
          <w:sz w:val="22"/>
          <w:szCs w:val="22"/>
          <w:lang w:val="es-419"/>
        </w:rPr>
      </w:pPr>
      <w:r w:rsidRPr="006456F4">
        <w:rPr>
          <w:rFonts w:ascii="Times New Roman" w:eastAsia="Times New Roman" w:hAnsi="Times New Roman" w:cs="Times New Roman"/>
          <w:sz w:val="22"/>
          <w:szCs w:val="22"/>
          <w:lang w:val="es-419"/>
        </w:rPr>
        <w:t xml:space="preserve">En este trabajo planteamos la necesidad de que los maestros en formación sean capaces de analizar la adecuación de lecciones de libros de texto de matemáticas en un tema concreto y que, con base a tal análisis, identifiquen potenciales conflictos en la lección y elaboren propuestas fundamentadas sobre la gestión de dicho recurso.  </w:t>
      </w:r>
    </w:p>
    <w:p w14:paraId="30D1FF1B" w14:textId="4E0E534E" w:rsidR="009F5E04" w:rsidRPr="006456F4" w:rsidRDefault="009F5E04" w:rsidP="009F5E04">
      <w:pPr>
        <w:spacing w:after="120"/>
        <w:ind w:firstLine="709"/>
        <w:jc w:val="both"/>
        <w:rPr>
          <w:rFonts w:ascii="Times New Roman" w:eastAsia="Times New Roman" w:hAnsi="Times New Roman" w:cs="Times New Roman"/>
          <w:sz w:val="22"/>
          <w:szCs w:val="22"/>
          <w:lang w:val="es-419"/>
        </w:rPr>
      </w:pPr>
      <w:r w:rsidRPr="006456F4">
        <w:rPr>
          <w:rFonts w:ascii="Times New Roman" w:eastAsia="Times New Roman" w:hAnsi="Times New Roman" w:cs="Times New Roman"/>
          <w:sz w:val="22"/>
          <w:szCs w:val="22"/>
          <w:lang w:val="es-419"/>
        </w:rPr>
        <w:t xml:space="preserve">Como marco teórico empleamos el Enfoque Ontosemiótico (EOS) del Conocimiento y la Instrucción Matemática (Godino et al., 2007). En dicho marco se ha desarrollado un modelo de categorías de Conocimientos y Competencias Didáctico-Matemáticas (CCDM) del profesor de matemáticas (Godino et al., 2017) y se han elaborado herramientas teórico-metodológicas para apoyar la planificación y puesta en marcha de acciones formativas que promuevan, entre otras, la competencia de análisis e intervención didáctica. Esta se orienta al diseño, implementación y evaluación de secuencias de </w:t>
      </w:r>
      <w:r w:rsidRPr="006456F4">
        <w:rPr>
          <w:rFonts w:ascii="Times New Roman" w:eastAsia="Times New Roman" w:hAnsi="Times New Roman" w:cs="Times New Roman"/>
          <w:sz w:val="22"/>
          <w:szCs w:val="22"/>
          <w:lang w:val="es-419"/>
        </w:rPr>
        <w:lastRenderedPageBreak/>
        <w:t xml:space="preserve">aprendizaje propias y de otros, que permitan tomar decisiones sobre qué cambios se deben realizar para mejorar el desarrollo de la competencia matemática de los estudiantes (Breda et al., 2017; </w:t>
      </w:r>
      <w:r w:rsidR="00E6547F">
        <w:rPr>
          <w:rFonts w:ascii="Times New Roman" w:eastAsia="Times New Roman" w:hAnsi="Times New Roman" w:cs="Times New Roman"/>
          <w:sz w:val="22"/>
          <w:szCs w:val="22"/>
          <w:lang w:val="es-419"/>
        </w:rPr>
        <w:t>Autor</w:t>
      </w:r>
      <w:r w:rsidRPr="006456F4">
        <w:rPr>
          <w:rFonts w:ascii="Times New Roman" w:eastAsia="Times New Roman" w:hAnsi="Times New Roman" w:cs="Times New Roman"/>
          <w:sz w:val="22"/>
          <w:szCs w:val="22"/>
          <w:lang w:val="es-419"/>
        </w:rPr>
        <w:t xml:space="preserve">, 2021; </w:t>
      </w:r>
      <w:r w:rsidR="00E6547F">
        <w:rPr>
          <w:rFonts w:ascii="Times New Roman" w:eastAsia="Times New Roman" w:hAnsi="Times New Roman" w:cs="Times New Roman"/>
          <w:sz w:val="22"/>
          <w:szCs w:val="22"/>
          <w:lang w:val="es-419"/>
        </w:rPr>
        <w:t>Autor</w:t>
      </w:r>
      <w:r w:rsidRPr="006456F4">
        <w:rPr>
          <w:rFonts w:ascii="Times New Roman" w:eastAsia="Times New Roman" w:hAnsi="Times New Roman" w:cs="Times New Roman"/>
          <w:sz w:val="22"/>
          <w:szCs w:val="22"/>
          <w:lang w:val="es-419"/>
        </w:rPr>
        <w:t xml:space="preserve"> et al., 2020; Giacomone et al., 2018; Giacomone et al., 2019; Godino et al., 2017; Godino et al., 2018). Algunas de las intervenciones específicas desarrolladas en el campo de la formación de profesores con base en el modelo CCDM, han empleado la herramienta idoneidad didáctica, sus componentes e indicadores (Godino, 2013) para organizar la reflexión sistemática del profesor sobre su propia práctica o la de otros, y desarrollar la competencia de evaluación de los procesos de instrucción planificados o implementados (Breda et al., 2018; Font et al., 2018; Giacomone et al., 2018; Hummes et al., 2019; Morales-López y Araya-Román, 2020; Pino-Fan et al., 2013).  </w:t>
      </w:r>
    </w:p>
    <w:p w14:paraId="03348368" w14:textId="5E1C30ED" w:rsidR="009F5E04" w:rsidRPr="006456F4" w:rsidRDefault="009F5E04" w:rsidP="009F5E04">
      <w:pPr>
        <w:spacing w:after="120"/>
        <w:ind w:firstLine="709"/>
        <w:jc w:val="both"/>
        <w:rPr>
          <w:rFonts w:ascii="Times New Roman" w:eastAsia="Times New Roman" w:hAnsi="Times New Roman" w:cs="Times New Roman"/>
          <w:sz w:val="22"/>
          <w:szCs w:val="22"/>
          <w:lang w:val="es-419"/>
        </w:rPr>
      </w:pPr>
      <w:r w:rsidRPr="006456F4">
        <w:rPr>
          <w:rFonts w:ascii="Times New Roman" w:eastAsia="Times New Roman" w:hAnsi="Times New Roman" w:cs="Times New Roman"/>
          <w:sz w:val="22"/>
          <w:szCs w:val="22"/>
          <w:lang w:val="es-419"/>
        </w:rPr>
        <w:t>Algunos de estos trabajos han tratado de manera específica el contenido matemático de la proporcionalidad (</w:t>
      </w:r>
      <w:r w:rsidR="00DB7C33">
        <w:rPr>
          <w:rFonts w:ascii="Times New Roman" w:eastAsia="Times New Roman" w:hAnsi="Times New Roman" w:cs="Times New Roman"/>
          <w:sz w:val="22"/>
          <w:szCs w:val="22"/>
          <w:lang w:val="es-419"/>
        </w:rPr>
        <w:t>Autor</w:t>
      </w:r>
      <w:r w:rsidRPr="006456F4">
        <w:rPr>
          <w:rFonts w:ascii="Times New Roman" w:eastAsia="Times New Roman" w:hAnsi="Times New Roman" w:cs="Times New Roman"/>
          <w:sz w:val="22"/>
          <w:szCs w:val="22"/>
          <w:lang w:val="es-419"/>
        </w:rPr>
        <w:t xml:space="preserve"> et al., 2018; </w:t>
      </w:r>
      <w:r w:rsidR="00DB7C33">
        <w:rPr>
          <w:rFonts w:ascii="Times New Roman" w:eastAsia="Times New Roman" w:hAnsi="Times New Roman" w:cs="Times New Roman"/>
          <w:sz w:val="22"/>
          <w:szCs w:val="22"/>
          <w:lang w:val="es-419"/>
        </w:rPr>
        <w:t>Autor</w:t>
      </w:r>
      <w:r w:rsidRPr="006456F4">
        <w:rPr>
          <w:rFonts w:ascii="Times New Roman" w:eastAsia="Times New Roman" w:hAnsi="Times New Roman" w:cs="Times New Roman"/>
          <w:sz w:val="22"/>
          <w:szCs w:val="22"/>
          <w:lang w:val="es-419"/>
        </w:rPr>
        <w:t xml:space="preserve"> et al., 2020; </w:t>
      </w:r>
      <w:r w:rsidR="00DB7C33">
        <w:rPr>
          <w:rFonts w:ascii="Times New Roman" w:eastAsia="Times New Roman" w:hAnsi="Times New Roman" w:cs="Times New Roman"/>
          <w:sz w:val="22"/>
          <w:szCs w:val="22"/>
          <w:lang w:val="es-419"/>
        </w:rPr>
        <w:t>Autor</w:t>
      </w:r>
      <w:r w:rsidR="00DB7C33" w:rsidRPr="006456F4">
        <w:rPr>
          <w:rFonts w:ascii="Times New Roman" w:eastAsia="Times New Roman" w:hAnsi="Times New Roman" w:cs="Times New Roman"/>
          <w:sz w:val="22"/>
          <w:szCs w:val="22"/>
          <w:lang w:val="es-419"/>
        </w:rPr>
        <w:t xml:space="preserve"> </w:t>
      </w:r>
      <w:r w:rsidRPr="006456F4">
        <w:rPr>
          <w:rFonts w:ascii="Times New Roman" w:eastAsia="Times New Roman" w:hAnsi="Times New Roman" w:cs="Times New Roman"/>
          <w:sz w:val="22"/>
          <w:szCs w:val="22"/>
          <w:lang w:val="es-419"/>
        </w:rPr>
        <w:t xml:space="preserve">et al., 2021; </w:t>
      </w:r>
      <w:r w:rsidR="00DB7C33">
        <w:rPr>
          <w:rFonts w:ascii="Times New Roman" w:eastAsia="Times New Roman" w:hAnsi="Times New Roman" w:cs="Times New Roman"/>
          <w:sz w:val="22"/>
          <w:szCs w:val="22"/>
          <w:lang w:val="es-419"/>
        </w:rPr>
        <w:t xml:space="preserve">Autor, </w:t>
      </w:r>
      <w:r w:rsidRPr="006456F4">
        <w:rPr>
          <w:rFonts w:ascii="Times New Roman" w:eastAsia="Times New Roman" w:hAnsi="Times New Roman" w:cs="Times New Roman"/>
          <w:sz w:val="22"/>
          <w:szCs w:val="22"/>
          <w:lang w:val="es-419"/>
        </w:rPr>
        <w:t>2022; Esqué y Breda, 2021). A pesar de la importancia longitudinal y transversal de dicho contenido en los currículos de Educación Primaria y Secundaria, así como de constituir el puente hacia el pensamiento matemático avanzado, la proporcionalidad no suele recibir un tratamiento adecuado en los textos de matemáticas escolares de ambas etapas (</w:t>
      </w:r>
      <w:proofErr w:type="spellStart"/>
      <w:r w:rsidRPr="006456F4">
        <w:rPr>
          <w:rFonts w:ascii="Times New Roman" w:eastAsia="Times New Roman" w:hAnsi="Times New Roman" w:cs="Times New Roman"/>
          <w:sz w:val="22"/>
          <w:szCs w:val="22"/>
          <w:lang w:val="es-419"/>
        </w:rPr>
        <w:t>Ahl</w:t>
      </w:r>
      <w:proofErr w:type="spellEnd"/>
      <w:r w:rsidRPr="006456F4">
        <w:rPr>
          <w:rFonts w:ascii="Times New Roman" w:eastAsia="Times New Roman" w:hAnsi="Times New Roman" w:cs="Times New Roman"/>
          <w:sz w:val="22"/>
          <w:szCs w:val="22"/>
          <w:lang w:val="es-419"/>
        </w:rPr>
        <w:t xml:space="preserve">, 2016; </w:t>
      </w:r>
      <w:r w:rsidR="00E6547F">
        <w:rPr>
          <w:rFonts w:ascii="Times New Roman" w:eastAsia="Times New Roman" w:hAnsi="Times New Roman" w:cs="Times New Roman"/>
          <w:sz w:val="22"/>
          <w:szCs w:val="22"/>
          <w:lang w:val="es-419"/>
        </w:rPr>
        <w:t>Autor</w:t>
      </w:r>
      <w:r w:rsidR="00E6547F" w:rsidRPr="006456F4">
        <w:rPr>
          <w:rFonts w:ascii="Times New Roman" w:eastAsia="Times New Roman" w:hAnsi="Times New Roman" w:cs="Times New Roman"/>
          <w:sz w:val="22"/>
          <w:szCs w:val="22"/>
          <w:lang w:val="es-419"/>
        </w:rPr>
        <w:t xml:space="preserve"> </w:t>
      </w:r>
      <w:r w:rsidRPr="006456F4">
        <w:rPr>
          <w:rFonts w:ascii="Times New Roman" w:eastAsia="Times New Roman" w:hAnsi="Times New Roman" w:cs="Times New Roman"/>
          <w:sz w:val="22"/>
          <w:szCs w:val="22"/>
          <w:lang w:val="es-419"/>
        </w:rPr>
        <w:t xml:space="preserve">et al., 2020; </w:t>
      </w:r>
      <w:proofErr w:type="spellStart"/>
      <w:r w:rsidRPr="006456F4">
        <w:rPr>
          <w:rFonts w:ascii="Times New Roman" w:eastAsia="Times New Roman" w:hAnsi="Times New Roman" w:cs="Times New Roman"/>
          <w:sz w:val="22"/>
          <w:szCs w:val="22"/>
          <w:lang w:val="es-419"/>
        </w:rPr>
        <w:t>Shield</w:t>
      </w:r>
      <w:proofErr w:type="spellEnd"/>
      <w:r w:rsidRPr="006456F4">
        <w:rPr>
          <w:rFonts w:ascii="Times New Roman" w:eastAsia="Times New Roman" w:hAnsi="Times New Roman" w:cs="Times New Roman"/>
          <w:sz w:val="22"/>
          <w:szCs w:val="22"/>
          <w:lang w:val="es-419"/>
        </w:rPr>
        <w:t xml:space="preserve"> y </w:t>
      </w:r>
      <w:proofErr w:type="spellStart"/>
      <w:r w:rsidRPr="006456F4">
        <w:rPr>
          <w:rFonts w:ascii="Times New Roman" w:eastAsia="Times New Roman" w:hAnsi="Times New Roman" w:cs="Times New Roman"/>
          <w:sz w:val="22"/>
          <w:szCs w:val="22"/>
          <w:lang w:val="es-419"/>
        </w:rPr>
        <w:t>Dole</w:t>
      </w:r>
      <w:proofErr w:type="spellEnd"/>
      <w:r w:rsidRPr="006456F4">
        <w:rPr>
          <w:rFonts w:ascii="Times New Roman" w:eastAsia="Times New Roman" w:hAnsi="Times New Roman" w:cs="Times New Roman"/>
          <w:sz w:val="22"/>
          <w:szCs w:val="22"/>
          <w:lang w:val="es-419"/>
        </w:rPr>
        <w:t xml:space="preserve">, 2013). Los manuales para el alumno destacan el aprendizaje memorístico de rutinas y evitan argumentar sobre las condiciones que caracterizan una situación de proporcionalidad directa, lo que obstaculiza el desarrollo de un adecuado razonamiento proporcional (Fernández y Llinares, 2011; </w:t>
      </w:r>
      <w:proofErr w:type="spellStart"/>
      <w:r w:rsidRPr="006456F4">
        <w:rPr>
          <w:rFonts w:ascii="Times New Roman" w:eastAsia="Times New Roman" w:hAnsi="Times New Roman" w:cs="Times New Roman"/>
          <w:sz w:val="22"/>
          <w:szCs w:val="22"/>
          <w:lang w:val="es-419"/>
        </w:rPr>
        <w:t>Lamon</w:t>
      </w:r>
      <w:proofErr w:type="spellEnd"/>
      <w:r w:rsidRPr="006456F4">
        <w:rPr>
          <w:rFonts w:ascii="Times New Roman" w:eastAsia="Times New Roman" w:hAnsi="Times New Roman" w:cs="Times New Roman"/>
          <w:sz w:val="22"/>
          <w:szCs w:val="22"/>
          <w:lang w:val="es-419"/>
        </w:rPr>
        <w:t xml:space="preserve">, 2007; Riley, 2010). Además, y no menos importante, tanto profesores en formación como en servicio tienen dificultades para enseñar conceptos relacionados con la proporcionalidad (Ben-Chaim et al., 2012; </w:t>
      </w:r>
      <w:proofErr w:type="spellStart"/>
      <w:r w:rsidRPr="006456F4">
        <w:rPr>
          <w:rFonts w:ascii="Times New Roman" w:eastAsia="Times New Roman" w:hAnsi="Times New Roman" w:cs="Times New Roman"/>
          <w:sz w:val="22"/>
          <w:szCs w:val="22"/>
          <w:lang w:val="es-419"/>
        </w:rPr>
        <w:t>Berk</w:t>
      </w:r>
      <w:proofErr w:type="spellEnd"/>
      <w:r w:rsidRPr="006456F4">
        <w:rPr>
          <w:rFonts w:ascii="Times New Roman" w:eastAsia="Times New Roman" w:hAnsi="Times New Roman" w:cs="Times New Roman"/>
          <w:sz w:val="22"/>
          <w:szCs w:val="22"/>
          <w:lang w:val="es-419"/>
        </w:rPr>
        <w:t xml:space="preserve"> et al., 2009; </w:t>
      </w:r>
      <w:proofErr w:type="spellStart"/>
      <w:r w:rsidRPr="006456F4">
        <w:rPr>
          <w:rFonts w:ascii="Times New Roman" w:eastAsia="Times New Roman" w:hAnsi="Times New Roman" w:cs="Times New Roman"/>
          <w:sz w:val="22"/>
          <w:szCs w:val="22"/>
          <w:lang w:val="es-419"/>
        </w:rPr>
        <w:t>Buforn</w:t>
      </w:r>
      <w:proofErr w:type="spellEnd"/>
      <w:r w:rsidRPr="006456F4">
        <w:rPr>
          <w:rFonts w:ascii="Times New Roman" w:eastAsia="Times New Roman" w:hAnsi="Times New Roman" w:cs="Times New Roman"/>
          <w:sz w:val="22"/>
          <w:szCs w:val="22"/>
          <w:lang w:val="es-419"/>
        </w:rPr>
        <w:t xml:space="preserve"> et al., 2018; Van Dooren et al., 2008). En este sentido, autores como Nicol y Crespo (2006) o </w:t>
      </w:r>
      <w:proofErr w:type="spellStart"/>
      <w:r w:rsidRPr="006456F4">
        <w:rPr>
          <w:rFonts w:ascii="Times New Roman" w:eastAsia="Times New Roman" w:hAnsi="Times New Roman" w:cs="Times New Roman"/>
          <w:sz w:val="22"/>
          <w:szCs w:val="22"/>
          <w:lang w:val="es-419"/>
        </w:rPr>
        <w:t>Remillard</w:t>
      </w:r>
      <w:proofErr w:type="spellEnd"/>
      <w:r w:rsidRPr="006456F4">
        <w:rPr>
          <w:rFonts w:ascii="Times New Roman" w:eastAsia="Times New Roman" w:hAnsi="Times New Roman" w:cs="Times New Roman"/>
          <w:sz w:val="22"/>
          <w:szCs w:val="22"/>
          <w:lang w:val="es-419"/>
        </w:rPr>
        <w:t xml:space="preserve"> y Kim (2017) sugieren que es posible diagnosticar y corregir estas deficiencias por medio de la reflexión sobre los procesos instruccionales previstos en lecciones de libros de texto, generando aprendizaje significativo en los docentes. </w:t>
      </w:r>
    </w:p>
    <w:p w14:paraId="10A1E308" w14:textId="04AB19CB" w:rsidR="009F5E04" w:rsidRPr="006456F4" w:rsidRDefault="009F5E04" w:rsidP="009F5E04">
      <w:pPr>
        <w:spacing w:after="120"/>
        <w:ind w:firstLine="709"/>
        <w:jc w:val="both"/>
        <w:rPr>
          <w:rFonts w:ascii="Times New Roman" w:eastAsia="Times New Roman" w:hAnsi="Times New Roman" w:cs="Times New Roman"/>
          <w:sz w:val="22"/>
          <w:szCs w:val="22"/>
          <w:lang w:val="es-419"/>
        </w:rPr>
      </w:pPr>
      <w:r w:rsidRPr="006456F4">
        <w:rPr>
          <w:rFonts w:ascii="Times New Roman" w:eastAsia="Times New Roman" w:hAnsi="Times New Roman" w:cs="Times New Roman"/>
          <w:sz w:val="22"/>
          <w:szCs w:val="22"/>
          <w:lang w:val="es-419"/>
        </w:rPr>
        <w:t xml:space="preserve">Así, en </w:t>
      </w:r>
      <w:r w:rsidR="00E6547F">
        <w:rPr>
          <w:rFonts w:ascii="Times New Roman" w:eastAsia="Times New Roman" w:hAnsi="Times New Roman" w:cs="Times New Roman"/>
          <w:sz w:val="22"/>
          <w:szCs w:val="22"/>
          <w:lang w:val="es-419"/>
        </w:rPr>
        <w:t>Autor</w:t>
      </w:r>
      <w:r w:rsidR="00E6547F" w:rsidRPr="006456F4">
        <w:rPr>
          <w:rFonts w:ascii="Times New Roman" w:eastAsia="Times New Roman" w:hAnsi="Times New Roman" w:cs="Times New Roman"/>
          <w:sz w:val="22"/>
          <w:szCs w:val="22"/>
          <w:lang w:val="es-419"/>
        </w:rPr>
        <w:t xml:space="preserve"> </w:t>
      </w:r>
      <w:r w:rsidRPr="006456F4">
        <w:rPr>
          <w:rFonts w:ascii="Times New Roman" w:eastAsia="Times New Roman" w:hAnsi="Times New Roman" w:cs="Times New Roman"/>
          <w:sz w:val="22"/>
          <w:szCs w:val="22"/>
          <w:lang w:val="es-419"/>
        </w:rPr>
        <w:t>(2022) se describen los resultados de una acción formativa con maestros en formación destinada a desarrollar de manera específica su competencia para identificar conflictos semióticos en una lección de proporcionalidad de un libro de texto de educación primaria. Para orientar su análisis se proporcionó a los participantes una guía para el análisis de lecciones de proporcionalidad en libros de texto (GALT-proporcionalidad) (</w:t>
      </w:r>
      <w:r w:rsidR="00E6547F">
        <w:rPr>
          <w:rFonts w:ascii="Times New Roman" w:eastAsia="Times New Roman" w:hAnsi="Times New Roman" w:cs="Times New Roman"/>
          <w:sz w:val="22"/>
          <w:szCs w:val="22"/>
          <w:lang w:val="es-419"/>
        </w:rPr>
        <w:t>Autor</w:t>
      </w:r>
      <w:r w:rsidRPr="006456F4">
        <w:rPr>
          <w:rFonts w:ascii="Times New Roman" w:eastAsia="Times New Roman" w:hAnsi="Times New Roman" w:cs="Times New Roman"/>
          <w:sz w:val="22"/>
          <w:szCs w:val="22"/>
          <w:lang w:val="es-419"/>
        </w:rPr>
        <w:t xml:space="preserve"> et al., 2022) basada en las facetas, componentes y criterios de idoneidad didáctica (Godino, 2013). Como resultado de su aplicación, los maestros en </w:t>
      </w:r>
      <w:r w:rsidRPr="006456F4">
        <w:rPr>
          <w:rFonts w:ascii="Times New Roman" w:eastAsia="Times New Roman" w:hAnsi="Times New Roman" w:cs="Times New Roman"/>
          <w:sz w:val="22"/>
          <w:szCs w:val="22"/>
          <w:lang w:val="es-419"/>
        </w:rPr>
        <w:lastRenderedPageBreak/>
        <w:t xml:space="preserve">formación identificaron conflictos relativos a la presentación del contenido, a los conocimientos previos requeridos y la progresión en el aprendizaje, así como a los modos de interacción prevista y el uso de recursos. Sin embargo, otros conflictos, relacionados con un conocimiento específico de la proporcionalidad pasaron inadvertidos por la mayoría de los futuros maestros. Dado que las críticas de los profesores a los libros de texto pueden estar relacionadas con sus creencias (Yang y Liu, 2019) y que dichas creencias dan forma al uso de los recursos (Lloyd, 2002), </w:t>
      </w:r>
      <w:r w:rsidR="00E6547F">
        <w:rPr>
          <w:rFonts w:ascii="Times New Roman" w:eastAsia="Times New Roman" w:hAnsi="Times New Roman" w:cs="Times New Roman"/>
          <w:sz w:val="22"/>
          <w:szCs w:val="22"/>
          <w:lang w:val="es-419"/>
        </w:rPr>
        <w:t>Autor</w:t>
      </w:r>
      <w:r w:rsidR="00E6547F" w:rsidRPr="006456F4">
        <w:rPr>
          <w:rFonts w:ascii="Times New Roman" w:eastAsia="Times New Roman" w:hAnsi="Times New Roman" w:cs="Times New Roman"/>
          <w:sz w:val="22"/>
          <w:szCs w:val="22"/>
          <w:lang w:val="es-419"/>
        </w:rPr>
        <w:t xml:space="preserve"> </w:t>
      </w:r>
      <w:r w:rsidRPr="006456F4">
        <w:rPr>
          <w:rFonts w:ascii="Times New Roman" w:eastAsia="Times New Roman" w:hAnsi="Times New Roman" w:cs="Times New Roman"/>
          <w:sz w:val="22"/>
          <w:szCs w:val="22"/>
          <w:lang w:val="es-419"/>
        </w:rPr>
        <w:t>(2022) plantean la necesidad de comparar las creencias inferidas a partir de valoraciones iniciales (sin haber recibido una formación específica) con el análisis, la identificación de conflictos en las lecciones de libros de texto y la toma de decisiones sobre la gestión del libro de texto posterior a una formación.</w:t>
      </w:r>
    </w:p>
    <w:p w14:paraId="2D8F70DE" w14:textId="2240E86A" w:rsidR="009F5E04" w:rsidRPr="006456F4" w:rsidRDefault="009F5E04" w:rsidP="009F5E04">
      <w:pPr>
        <w:spacing w:after="120"/>
        <w:ind w:firstLine="709"/>
        <w:jc w:val="both"/>
        <w:rPr>
          <w:rFonts w:ascii="Times New Roman" w:eastAsia="Times New Roman" w:hAnsi="Times New Roman" w:cs="Times New Roman"/>
          <w:sz w:val="22"/>
          <w:szCs w:val="22"/>
          <w:lang w:val="es-419"/>
        </w:rPr>
      </w:pPr>
      <w:r w:rsidRPr="006456F4">
        <w:rPr>
          <w:rFonts w:ascii="Times New Roman" w:eastAsia="Times New Roman" w:hAnsi="Times New Roman" w:cs="Times New Roman"/>
          <w:sz w:val="22"/>
          <w:szCs w:val="22"/>
          <w:lang w:val="es-419"/>
        </w:rPr>
        <w:t>En este trabajo se describe el diseño, implementación y resultados de una experiencia formativa con la que se pretende promover en maestros en formación, su competencia para el análisis didáctico de una lección de libro de texto de proporcionalidad, la identificación de deficiencias en la misma y la toma de decisiones para su mejora y uso efectivo, empleando la GALT-proporcionalidad (</w:t>
      </w:r>
      <w:r w:rsidR="00E6547F">
        <w:rPr>
          <w:rFonts w:ascii="Times New Roman" w:eastAsia="Times New Roman" w:hAnsi="Times New Roman" w:cs="Times New Roman"/>
          <w:sz w:val="22"/>
          <w:szCs w:val="22"/>
          <w:lang w:val="es-419"/>
        </w:rPr>
        <w:t xml:space="preserve">Autor </w:t>
      </w:r>
      <w:r w:rsidRPr="006456F4">
        <w:rPr>
          <w:rFonts w:ascii="Times New Roman" w:eastAsia="Times New Roman" w:hAnsi="Times New Roman" w:cs="Times New Roman"/>
          <w:sz w:val="22"/>
          <w:szCs w:val="22"/>
          <w:lang w:val="es-419"/>
        </w:rPr>
        <w:t>et al., 2022a). El objetivo general que se plantea es analizar cómo evoluciona dicha competencia, con relación a la identificación de conflictos y reflexión sobre su modo de uso. Para lograr esto nos planteamos de modo específico:</w:t>
      </w:r>
    </w:p>
    <w:p w14:paraId="72E9BFA6" w14:textId="5CB253FA" w:rsidR="009F5E04" w:rsidRPr="006456F4" w:rsidRDefault="009F5E04" w:rsidP="009F5E04">
      <w:pPr>
        <w:spacing w:after="120"/>
        <w:ind w:firstLine="709"/>
        <w:jc w:val="both"/>
        <w:rPr>
          <w:rFonts w:ascii="Times New Roman" w:eastAsia="Times New Roman" w:hAnsi="Times New Roman" w:cs="Times New Roman"/>
          <w:sz w:val="22"/>
          <w:szCs w:val="22"/>
          <w:lang w:val="es-419"/>
        </w:rPr>
      </w:pPr>
      <w:r w:rsidRPr="006456F4">
        <w:rPr>
          <w:rFonts w:ascii="Times New Roman" w:eastAsia="Times New Roman" w:hAnsi="Times New Roman" w:cs="Times New Roman"/>
          <w:sz w:val="22"/>
          <w:szCs w:val="22"/>
          <w:lang w:val="es-419"/>
        </w:rPr>
        <w:t>1.</w:t>
      </w:r>
      <w:r w:rsidR="006D18E4">
        <w:rPr>
          <w:rFonts w:ascii="Times New Roman" w:eastAsia="Times New Roman" w:hAnsi="Times New Roman" w:cs="Times New Roman"/>
          <w:sz w:val="22"/>
          <w:szCs w:val="22"/>
          <w:lang w:val="es-419"/>
        </w:rPr>
        <w:t xml:space="preserve"> </w:t>
      </w:r>
      <w:r w:rsidRPr="006456F4">
        <w:rPr>
          <w:rFonts w:ascii="Times New Roman" w:eastAsia="Times New Roman" w:hAnsi="Times New Roman" w:cs="Times New Roman"/>
          <w:sz w:val="22"/>
          <w:szCs w:val="22"/>
          <w:lang w:val="es-419"/>
        </w:rPr>
        <w:t>Identificar y describir las carencias que indicaron los participantes en una tarea de diagnóstico inicial.</w:t>
      </w:r>
    </w:p>
    <w:p w14:paraId="3EFF3271" w14:textId="49536F6A" w:rsidR="235DF6B6" w:rsidRDefault="009F5E04" w:rsidP="00CD3E5A">
      <w:pPr>
        <w:spacing w:after="120"/>
        <w:ind w:firstLine="709"/>
        <w:jc w:val="both"/>
        <w:rPr>
          <w:rFonts w:ascii="Times New Roman" w:eastAsia="Times New Roman" w:hAnsi="Times New Roman" w:cs="Times New Roman"/>
          <w:sz w:val="22"/>
          <w:szCs w:val="22"/>
          <w:lang w:val="es-419"/>
        </w:rPr>
      </w:pPr>
      <w:r w:rsidRPr="006456F4">
        <w:rPr>
          <w:rFonts w:ascii="Times New Roman" w:eastAsia="Times New Roman" w:hAnsi="Times New Roman" w:cs="Times New Roman"/>
          <w:sz w:val="22"/>
          <w:szCs w:val="22"/>
          <w:lang w:val="es-419"/>
        </w:rPr>
        <w:t>2.</w:t>
      </w:r>
      <w:r w:rsidR="006D18E4">
        <w:rPr>
          <w:rFonts w:ascii="Times New Roman" w:eastAsia="Times New Roman" w:hAnsi="Times New Roman" w:cs="Times New Roman"/>
          <w:sz w:val="22"/>
          <w:szCs w:val="22"/>
          <w:lang w:val="es-419"/>
        </w:rPr>
        <w:t xml:space="preserve"> </w:t>
      </w:r>
      <w:r w:rsidRPr="006456F4">
        <w:rPr>
          <w:rFonts w:ascii="Times New Roman" w:eastAsia="Times New Roman" w:hAnsi="Times New Roman" w:cs="Times New Roman"/>
          <w:sz w:val="22"/>
          <w:szCs w:val="22"/>
          <w:lang w:val="es-419"/>
        </w:rPr>
        <w:t>Analizar y valorar los conflictos que precisaron tras la formación y cuáles fueron sus propuestas para solventarlos.</w:t>
      </w:r>
    </w:p>
    <w:p w14:paraId="20E5FEA4" w14:textId="77777777" w:rsidR="00CD3E5A" w:rsidRPr="00CD3E5A" w:rsidRDefault="00CD3E5A" w:rsidP="00CD3E5A">
      <w:pPr>
        <w:spacing w:after="120"/>
        <w:ind w:firstLine="709"/>
        <w:jc w:val="both"/>
        <w:rPr>
          <w:rFonts w:ascii="Times New Roman" w:eastAsia="Times New Roman" w:hAnsi="Times New Roman" w:cs="Times New Roman"/>
          <w:sz w:val="22"/>
          <w:szCs w:val="22"/>
          <w:lang w:val="es-419"/>
        </w:rPr>
      </w:pPr>
    </w:p>
    <w:p w14:paraId="78810343" w14:textId="5CF8B8FE" w:rsidR="235DF6B6" w:rsidRPr="00DF1548" w:rsidRDefault="006D18E4" w:rsidP="00DD0FBE">
      <w:pPr>
        <w:spacing w:line="360" w:lineRule="auto"/>
        <w:ind w:firstLine="709"/>
        <w:rPr>
          <w:sz w:val="22"/>
          <w:szCs w:val="22"/>
        </w:rPr>
      </w:pPr>
      <w:r w:rsidRPr="00DF1548">
        <w:rPr>
          <w:rFonts w:ascii="Times New Roman" w:eastAsia="Times New Roman" w:hAnsi="Times New Roman" w:cs="Times New Roman"/>
          <w:b/>
          <w:bCs/>
        </w:rPr>
        <w:t>MARCO TEÓRICO</w:t>
      </w:r>
    </w:p>
    <w:p w14:paraId="1E9AE69B" w14:textId="7DD2DCFE" w:rsidR="006D18E4" w:rsidRPr="006D18E4" w:rsidRDefault="006D18E4" w:rsidP="006D18E4">
      <w:pPr>
        <w:spacing w:after="120"/>
        <w:ind w:firstLine="709"/>
        <w:jc w:val="both"/>
        <w:rPr>
          <w:rFonts w:ascii="Times New Roman" w:eastAsia="Times New Roman" w:hAnsi="Times New Roman" w:cs="Times New Roman"/>
          <w:sz w:val="22"/>
          <w:szCs w:val="22"/>
          <w:lang w:val="es-419"/>
        </w:rPr>
      </w:pPr>
      <w:r w:rsidRPr="006D18E4">
        <w:rPr>
          <w:rFonts w:ascii="Times New Roman" w:eastAsia="Times New Roman" w:hAnsi="Times New Roman" w:cs="Times New Roman"/>
          <w:sz w:val="22"/>
          <w:szCs w:val="22"/>
          <w:lang w:val="es-419"/>
        </w:rPr>
        <w:t xml:space="preserve">La consideración de la lección de un libro de texto como un proceso instruccional (previsto o planificado) en el que el autor propone una secuencia de prácticas matemáticas para el estudio del tema en cuestión, permite aplicar a su análisis sistemático, las distintas herramientas teóricas del EOS (Godino et al., 2007).  En dicho marco teórico los objetos matemáticos emergen de las prácticas que se movilizan al dar respuesta a cierta situación-problema y se considera toda una tipología de objetos (situación-problema, lenguaje, conceptos, proposiciones, procedimientos, y argumentos) según su naturaleza y finalidad (Godino et al., 2007). Estos objetos matemáticos no están aislados, sino que se relacionan entre sí formando </w:t>
      </w:r>
      <w:r w:rsidRPr="00563EE7">
        <w:rPr>
          <w:rFonts w:ascii="Times New Roman" w:eastAsia="Times New Roman" w:hAnsi="Times New Roman" w:cs="Times New Roman"/>
          <w:i/>
          <w:iCs/>
          <w:sz w:val="22"/>
          <w:szCs w:val="22"/>
          <w:lang w:val="es-419"/>
        </w:rPr>
        <w:t>configuraciones</w:t>
      </w:r>
      <w:r w:rsidRPr="006D18E4">
        <w:rPr>
          <w:rFonts w:ascii="Times New Roman" w:eastAsia="Times New Roman" w:hAnsi="Times New Roman" w:cs="Times New Roman"/>
          <w:sz w:val="22"/>
          <w:szCs w:val="22"/>
          <w:lang w:val="es-419"/>
        </w:rPr>
        <w:t xml:space="preserve"> que pueden ser </w:t>
      </w:r>
      <w:r w:rsidRPr="00563EE7">
        <w:rPr>
          <w:rFonts w:ascii="Times New Roman" w:eastAsia="Times New Roman" w:hAnsi="Times New Roman" w:cs="Times New Roman"/>
          <w:i/>
          <w:iCs/>
          <w:sz w:val="22"/>
          <w:szCs w:val="22"/>
          <w:lang w:val="es-419"/>
        </w:rPr>
        <w:lastRenderedPageBreak/>
        <w:t>epistémicas</w:t>
      </w:r>
      <w:r w:rsidRPr="006D18E4">
        <w:rPr>
          <w:rFonts w:ascii="Times New Roman" w:eastAsia="Times New Roman" w:hAnsi="Times New Roman" w:cs="Times New Roman"/>
          <w:sz w:val="22"/>
          <w:szCs w:val="22"/>
          <w:lang w:val="es-419"/>
        </w:rPr>
        <w:t xml:space="preserve"> (objetos y procesos matemáticos puestos en marcha desde una institución para la solución de un problema matemático) o </w:t>
      </w:r>
      <w:r w:rsidRPr="00563EE7">
        <w:rPr>
          <w:rFonts w:ascii="Times New Roman" w:eastAsia="Times New Roman" w:hAnsi="Times New Roman" w:cs="Times New Roman"/>
          <w:i/>
          <w:iCs/>
          <w:sz w:val="22"/>
          <w:szCs w:val="22"/>
          <w:lang w:val="es-419"/>
        </w:rPr>
        <w:t>cognitivas</w:t>
      </w:r>
      <w:r w:rsidRPr="006D18E4">
        <w:rPr>
          <w:rFonts w:ascii="Times New Roman" w:eastAsia="Times New Roman" w:hAnsi="Times New Roman" w:cs="Times New Roman"/>
          <w:sz w:val="22"/>
          <w:szCs w:val="22"/>
          <w:lang w:val="es-419"/>
        </w:rPr>
        <w:t xml:space="preserve"> (red de objetos y procesos matemáticos utilizados por los estudiantes para resolver una situación-problema).</w:t>
      </w:r>
    </w:p>
    <w:p w14:paraId="378D7DE2" w14:textId="77777777" w:rsidR="006D18E4" w:rsidRPr="006D18E4" w:rsidRDefault="006D18E4" w:rsidP="006D18E4">
      <w:pPr>
        <w:spacing w:after="120"/>
        <w:ind w:firstLine="709"/>
        <w:jc w:val="both"/>
        <w:rPr>
          <w:rFonts w:ascii="Times New Roman" w:eastAsia="Times New Roman" w:hAnsi="Times New Roman" w:cs="Times New Roman"/>
          <w:sz w:val="22"/>
          <w:szCs w:val="22"/>
          <w:lang w:val="es-419"/>
        </w:rPr>
      </w:pPr>
      <w:r w:rsidRPr="006D18E4">
        <w:rPr>
          <w:rFonts w:ascii="Times New Roman" w:eastAsia="Times New Roman" w:hAnsi="Times New Roman" w:cs="Times New Roman"/>
          <w:sz w:val="22"/>
          <w:szCs w:val="22"/>
          <w:lang w:val="es-419"/>
        </w:rPr>
        <w:t xml:space="preserve">Cuando se planifica un proceso de instrucción sobre un objeto matemático (por ejemplo, la proporcionalidad) para los estudiantes de un determinado nivel educativo (por ejemplo, sexto curso de educación primaria) el profesor debe delimitar en primer lugar lo que dicho objeto representa para las instituciones matemáticas y didácticas.  Acudirá, a los textos matemáticos y didáctico-matemáticos correspondientes, a las orientaciones curriculares y, en general, a lo que los expertos consideran que son las prácticas operativas y discursivas inherentes al objeto cuya instrucción se persigue. Con todo ello, el profesor determinará el sistema de prácticas que designamos como </w:t>
      </w:r>
      <w:r w:rsidRPr="00563EE7">
        <w:rPr>
          <w:rFonts w:ascii="Times New Roman" w:eastAsia="Times New Roman" w:hAnsi="Times New Roman" w:cs="Times New Roman"/>
          <w:i/>
          <w:iCs/>
          <w:sz w:val="22"/>
          <w:szCs w:val="22"/>
          <w:lang w:val="es-419"/>
        </w:rPr>
        <w:t>significado institucional de referencia del objeto</w:t>
      </w:r>
      <w:r w:rsidRPr="006D18E4">
        <w:rPr>
          <w:rFonts w:ascii="Times New Roman" w:eastAsia="Times New Roman" w:hAnsi="Times New Roman" w:cs="Times New Roman"/>
          <w:sz w:val="22"/>
          <w:szCs w:val="22"/>
          <w:lang w:val="es-419"/>
        </w:rPr>
        <w:t xml:space="preserve"> (por extensión, contenido matemático).  Por otro lado, el significado institucional pretendido viene dado por el sistema de prácticas previsto sobre un objeto matemático para un cierto proceso de instrucción (como puede ser el planificado por el autor de un libro de texto en una lección de proporcionalidad dirigida a alumnos de sexto curso de primaria). Desde el EOS se asume que el aprendizaje implica la apropiación de los significados institucionales pretendidos por parte de los estudiantes, mediante la participación en la comunidad de prácticas generadas en la clase. Así, el sistema de prácticas que manifiesta el estudiante a propósito de la resolución de tareas matemáticas en las que aparece involucrado el objeto, determina el </w:t>
      </w:r>
      <w:r w:rsidRPr="00563EE7">
        <w:rPr>
          <w:rFonts w:ascii="Times New Roman" w:eastAsia="Times New Roman" w:hAnsi="Times New Roman" w:cs="Times New Roman"/>
          <w:i/>
          <w:iCs/>
          <w:sz w:val="22"/>
          <w:szCs w:val="22"/>
          <w:lang w:val="es-419"/>
        </w:rPr>
        <w:t xml:space="preserve">significado personal logrado </w:t>
      </w:r>
      <w:r w:rsidRPr="006D18E4">
        <w:rPr>
          <w:rFonts w:ascii="Times New Roman" w:eastAsia="Times New Roman" w:hAnsi="Times New Roman" w:cs="Times New Roman"/>
          <w:sz w:val="22"/>
          <w:szCs w:val="22"/>
          <w:lang w:val="es-419"/>
        </w:rPr>
        <w:t xml:space="preserve">por el estudiante. </w:t>
      </w:r>
    </w:p>
    <w:p w14:paraId="4A231C12" w14:textId="77777777" w:rsidR="006D18E4" w:rsidRPr="006D18E4" w:rsidRDefault="006D18E4" w:rsidP="006D18E4">
      <w:pPr>
        <w:spacing w:after="120"/>
        <w:ind w:firstLine="709"/>
        <w:jc w:val="both"/>
        <w:rPr>
          <w:rFonts w:ascii="Times New Roman" w:eastAsia="Times New Roman" w:hAnsi="Times New Roman" w:cs="Times New Roman"/>
          <w:sz w:val="22"/>
          <w:szCs w:val="22"/>
          <w:lang w:val="es-419"/>
        </w:rPr>
      </w:pPr>
      <w:r w:rsidRPr="006D18E4">
        <w:rPr>
          <w:rFonts w:ascii="Times New Roman" w:eastAsia="Times New Roman" w:hAnsi="Times New Roman" w:cs="Times New Roman"/>
          <w:sz w:val="22"/>
          <w:szCs w:val="22"/>
          <w:lang w:val="es-419"/>
        </w:rPr>
        <w:t xml:space="preserve">Para explicar las dificultades y limitaciones de los aprendizajes y las enseñanzas implementadas, el EOS introduce el término </w:t>
      </w:r>
      <w:r w:rsidRPr="00563EE7">
        <w:rPr>
          <w:rFonts w:ascii="Times New Roman" w:eastAsia="Times New Roman" w:hAnsi="Times New Roman" w:cs="Times New Roman"/>
          <w:i/>
          <w:iCs/>
          <w:sz w:val="22"/>
          <w:szCs w:val="22"/>
          <w:lang w:val="es-419"/>
        </w:rPr>
        <w:t>conflicto semiótico</w:t>
      </w:r>
      <w:r w:rsidRPr="006D18E4">
        <w:rPr>
          <w:rFonts w:ascii="Times New Roman" w:eastAsia="Times New Roman" w:hAnsi="Times New Roman" w:cs="Times New Roman"/>
          <w:sz w:val="22"/>
          <w:szCs w:val="22"/>
          <w:lang w:val="es-419"/>
        </w:rPr>
        <w:t xml:space="preserve">, entendido como “disparidad o desajuste entre los significados atribuidos a una misma expresión por dos sujetos -personas o instituciones- en interacción comunicativa” (Godino et al., 2007, p.113). Cuando la discordancia se produce entre significados de tipo institucional (por ejemplo, entre el significado de referencia y el implementado en una lección de libro de texto o por un profesor) se dice que se trata de un </w:t>
      </w:r>
      <w:r w:rsidRPr="00563EE7">
        <w:rPr>
          <w:rFonts w:ascii="Times New Roman" w:eastAsia="Times New Roman" w:hAnsi="Times New Roman" w:cs="Times New Roman"/>
          <w:i/>
          <w:iCs/>
          <w:sz w:val="22"/>
          <w:szCs w:val="22"/>
          <w:lang w:val="es-419"/>
        </w:rPr>
        <w:t>conflicto epistémico</w:t>
      </w:r>
      <w:r w:rsidRPr="006D18E4">
        <w:rPr>
          <w:rFonts w:ascii="Times New Roman" w:eastAsia="Times New Roman" w:hAnsi="Times New Roman" w:cs="Times New Roman"/>
          <w:sz w:val="22"/>
          <w:szCs w:val="22"/>
          <w:lang w:val="es-419"/>
        </w:rPr>
        <w:t xml:space="preserve">, mientras que si disparidad tiene lugar entre el significado manifestado por un sujeto y el de referencia se dice que se trata de un </w:t>
      </w:r>
      <w:r w:rsidRPr="00563EE7">
        <w:rPr>
          <w:rFonts w:ascii="Times New Roman" w:eastAsia="Times New Roman" w:hAnsi="Times New Roman" w:cs="Times New Roman"/>
          <w:i/>
          <w:iCs/>
          <w:sz w:val="22"/>
          <w:szCs w:val="22"/>
          <w:lang w:val="es-419"/>
        </w:rPr>
        <w:t>conflicto cognitivo</w:t>
      </w:r>
      <w:r w:rsidRPr="006D18E4">
        <w:rPr>
          <w:rFonts w:ascii="Times New Roman" w:eastAsia="Times New Roman" w:hAnsi="Times New Roman" w:cs="Times New Roman"/>
          <w:sz w:val="22"/>
          <w:szCs w:val="22"/>
          <w:lang w:val="es-419"/>
        </w:rPr>
        <w:t>.</w:t>
      </w:r>
    </w:p>
    <w:p w14:paraId="3FF8B7A1" w14:textId="7CB69DA4" w:rsidR="006D18E4" w:rsidRPr="006D18E4" w:rsidRDefault="006D18E4" w:rsidP="006D18E4">
      <w:pPr>
        <w:spacing w:after="120"/>
        <w:ind w:firstLine="709"/>
        <w:jc w:val="both"/>
        <w:rPr>
          <w:rFonts w:ascii="Times New Roman" w:eastAsia="Times New Roman" w:hAnsi="Times New Roman" w:cs="Times New Roman"/>
          <w:sz w:val="22"/>
          <w:szCs w:val="22"/>
          <w:lang w:val="es-419"/>
        </w:rPr>
      </w:pPr>
      <w:r w:rsidRPr="006D18E4">
        <w:rPr>
          <w:rFonts w:ascii="Times New Roman" w:eastAsia="Times New Roman" w:hAnsi="Times New Roman" w:cs="Times New Roman"/>
          <w:sz w:val="22"/>
          <w:szCs w:val="22"/>
          <w:lang w:val="es-419"/>
        </w:rPr>
        <w:t xml:space="preserve">En este trabajo adoptamos el modelo CCDM de categorías de conocimientos del profesor de matemáticas desarrollado en el marco del EOS (Godino et al., 2017).  Se considera que las dos competencias clave del profesor de matemáticas son la </w:t>
      </w:r>
      <w:r w:rsidRPr="00563EE7">
        <w:rPr>
          <w:rFonts w:ascii="Times New Roman" w:eastAsia="Times New Roman" w:hAnsi="Times New Roman" w:cs="Times New Roman"/>
          <w:i/>
          <w:iCs/>
          <w:sz w:val="22"/>
          <w:szCs w:val="22"/>
          <w:lang w:val="es-419"/>
        </w:rPr>
        <w:t>competencia matemática</w:t>
      </w:r>
      <w:r w:rsidRPr="006D18E4">
        <w:rPr>
          <w:rFonts w:ascii="Times New Roman" w:eastAsia="Times New Roman" w:hAnsi="Times New Roman" w:cs="Times New Roman"/>
          <w:sz w:val="22"/>
          <w:szCs w:val="22"/>
          <w:lang w:val="es-419"/>
        </w:rPr>
        <w:t xml:space="preserve"> y la </w:t>
      </w:r>
      <w:r w:rsidRPr="00563EE7">
        <w:rPr>
          <w:rFonts w:ascii="Times New Roman" w:eastAsia="Times New Roman" w:hAnsi="Times New Roman" w:cs="Times New Roman"/>
          <w:i/>
          <w:iCs/>
          <w:sz w:val="22"/>
          <w:szCs w:val="22"/>
          <w:lang w:val="es-419"/>
        </w:rPr>
        <w:t xml:space="preserve">competencia de análisis e </w:t>
      </w:r>
      <w:r w:rsidRPr="00563EE7">
        <w:rPr>
          <w:rFonts w:ascii="Times New Roman" w:eastAsia="Times New Roman" w:hAnsi="Times New Roman" w:cs="Times New Roman"/>
          <w:i/>
          <w:iCs/>
          <w:sz w:val="22"/>
          <w:szCs w:val="22"/>
          <w:lang w:val="es-419"/>
        </w:rPr>
        <w:lastRenderedPageBreak/>
        <w:t xml:space="preserve">intervención didáctica </w:t>
      </w:r>
      <w:r w:rsidRPr="006D18E4">
        <w:rPr>
          <w:rFonts w:ascii="Times New Roman" w:eastAsia="Times New Roman" w:hAnsi="Times New Roman" w:cs="Times New Roman"/>
          <w:sz w:val="22"/>
          <w:szCs w:val="22"/>
          <w:lang w:val="es-419"/>
        </w:rPr>
        <w:t xml:space="preserve">que, en esencia, consiste en “diseñar, aplicar y valorar secuencias de aprendizaje propias, y de otros, mediante técnicas de análisis didáctico y criterios de calidad, para establecer ciclos de planificación, implementación, valoración y plantear propuestas de mejora” (Breda et al., 2017, p. 1897). Para desarrollar esta competencia el profesor necesita, por una parte, los conocimientos que le permitan describir y explicar lo que ha sucedido en el proceso de enseñanza y aprendizaje y, por otra, precisa conocimientos para elaborar juicios valorativos razonados de lo que ha sucedido y proponer decisiones críticas para futuras implementaciones. Esta competencia global de análisis e intervención didáctica del profesor de matemáticas está articulada por medio de cinco </w:t>
      </w:r>
      <w:proofErr w:type="spellStart"/>
      <w:r w:rsidRPr="006D18E4">
        <w:rPr>
          <w:rFonts w:ascii="Times New Roman" w:eastAsia="Times New Roman" w:hAnsi="Times New Roman" w:cs="Times New Roman"/>
          <w:sz w:val="22"/>
          <w:szCs w:val="22"/>
          <w:lang w:val="es-419"/>
        </w:rPr>
        <w:t>subcompetencias</w:t>
      </w:r>
      <w:proofErr w:type="spellEnd"/>
      <w:r w:rsidRPr="006D18E4">
        <w:rPr>
          <w:rFonts w:ascii="Times New Roman" w:eastAsia="Times New Roman" w:hAnsi="Times New Roman" w:cs="Times New Roman"/>
          <w:sz w:val="22"/>
          <w:szCs w:val="22"/>
          <w:lang w:val="es-419"/>
        </w:rPr>
        <w:t xml:space="preserve">, asociadas a herramientas conceptuales y metodológicas del EOS: </w:t>
      </w:r>
      <w:r w:rsidRPr="00563EE7">
        <w:rPr>
          <w:rFonts w:ascii="Times New Roman" w:eastAsia="Times New Roman" w:hAnsi="Times New Roman" w:cs="Times New Roman"/>
          <w:i/>
          <w:iCs/>
          <w:sz w:val="22"/>
          <w:szCs w:val="22"/>
          <w:lang w:val="es-419"/>
        </w:rPr>
        <w:t>competencia de análisis de significados globales</w:t>
      </w:r>
      <w:r w:rsidRPr="006D18E4">
        <w:rPr>
          <w:rFonts w:ascii="Times New Roman" w:eastAsia="Times New Roman" w:hAnsi="Times New Roman" w:cs="Times New Roman"/>
          <w:sz w:val="22"/>
          <w:szCs w:val="22"/>
          <w:lang w:val="es-419"/>
        </w:rPr>
        <w:t xml:space="preserve"> (identificación de situaciones-problemas y prácticas operativas, discursivas y normativas implicadas en su resolución); </w:t>
      </w:r>
      <w:r w:rsidRPr="00563EE7">
        <w:rPr>
          <w:rFonts w:ascii="Times New Roman" w:eastAsia="Times New Roman" w:hAnsi="Times New Roman" w:cs="Times New Roman"/>
          <w:i/>
          <w:iCs/>
          <w:sz w:val="22"/>
          <w:szCs w:val="22"/>
          <w:lang w:val="es-419"/>
        </w:rPr>
        <w:t>competencia de análisis ontosemiótico de las prácticas</w:t>
      </w:r>
      <w:r w:rsidRPr="006D18E4">
        <w:rPr>
          <w:rFonts w:ascii="Times New Roman" w:eastAsia="Times New Roman" w:hAnsi="Times New Roman" w:cs="Times New Roman"/>
          <w:sz w:val="22"/>
          <w:szCs w:val="22"/>
          <w:lang w:val="es-419"/>
        </w:rPr>
        <w:t xml:space="preserve"> (reconocimiento de la trama de objetos y procesos implicados en las prácticas); </w:t>
      </w:r>
      <w:r w:rsidRPr="00563EE7">
        <w:rPr>
          <w:rFonts w:ascii="Times New Roman" w:eastAsia="Times New Roman" w:hAnsi="Times New Roman" w:cs="Times New Roman"/>
          <w:i/>
          <w:iCs/>
          <w:sz w:val="22"/>
          <w:szCs w:val="22"/>
          <w:lang w:val="es-419"/>
        </w:rPr>
        <w:t>competencia de gestión de configuraciones y trayectorias didácticas</w:t>
      </w:r>
      <w:r w:rsidRPr="006D18E4">
        <w:rPr>
          <w:rFonts w:ascii="Times New Roman" w:eastAsia="Times New Roman" w:hAnsi="Times New Roman" w:cs="Times New Roman"/>
          <w:sz w:val="22"/>
          <w:szCs w:val="22"/>
          <w:lang w:val="es-419"/>
        </w:rPr>
        <w:t xml:space="preserve"> (identificación de la secuencia de patrones de interacción entre profesor, estudiante, contenido y recursos); </w:t>
      </w:r>
      <w:r w:rsidRPr="00563EE7">
        <w:rPr>
          <w:rFonts w:ascii="Times New Roman" w:eastAsia="Times New Roman" w:hAnsi="Times New Roman" w:cs="Times New Roman"/>
          <w:i/>
          <w:iCs/>
          <w:sz w:val="22"/>
          <w:szCs w:val="22"/>
          <w:lang w:val="es-419"/>
        </w:rPr>
        <w:t>competencia de análisis normativo</w:t>
      </w:r>
      <w:r w:rsidRPr="006D18E4">
        <w:rPr>
          <w:rFonts w:ascii="Times New Roman" w:eastAsia="Times New Roman" w:hAnsi="Times New Roman" w:cs="Times New Roman"/>
          <w:sz w:val="22"/>
          <w:szCs w:val="22"/>
          <w:lang w:val="es-419"/>
        </w:rPr>
        <w:t xml:space="preserve"> (reconocimiento de la red de normas y </w:t>
      </w:r>
      <w:proofErr w:type="spellStart"/>
      <w:r w:rsidRPr="006D18E4">
        <w:rPr>
          <w:rFonts w:ascii="Times New Roman" w:eastAsia="Times New Roman" w:hAnsi="Times New Roman" w:cs="Times New Roman"/>
          <w:sz w:val="22"/>
          <w:szCs w:val="22"/>
          <w:lang w:val="es-419"/>
        </w:rPr>
        <w:t>metanormas</w:t>
      </w:r>
      <w:proofErr w:type="spellEnd"/>
      <w:r w:rsidRPr="006D18E4">
        <w:rPr>
          <w:rFonts w:ascii="Times New Roman" w:eastAsia="Times New Roman" w:hAnsi="Times New Roman" w:cs="Times New Roman"/>
          <w:sz w:val="22"/>
          <w:szCs w:val="22"/>
          <w:lang w:val="es-419"/>
        </w:rPr>
        <w:t xml:space="preserve"> que condicionan y soportan el proceso instruccional); </w:t>
      </w:r>
      <w:r w:rsidRPr="00563EE7">
        <w:rPr>
          <w:rFonts w:ascii="Times New Roman" w:eastAsia="Times New Roman" w:hAnsi="Times New Roman" w:cs="Times New Roman"/>
          <w:i/>
          <w:iCs/>
          <w:sz w:val="22"/>
          <w:szCs w:val="22"/>
          <w:lang w:val="es-419"/>
        </w:rPr>
        <w:t xml:space="preserve">competencia de análisis de la idoneidad didáctica </w:t>
      </w:r>
      <w:r w:rsidRPr="006D18E4">
        <w:rPr>
          <w:rFonts w:ascii="Times New Roman" w:eastAsia="Times New Roman" w:hAnsi="Times New Roman" w:cs="Times New Roman"/>
          <w:sz w:val="22"/>
          <w:szCs w:val="22"/>
          <w:lang w:val="es-419"/>
        </w:rPr>
        <w:t xml:space="preserve">(valoración del proceso instruccional e identificación de potenciales mejoras). La descripción detallada de todas estas </w:t>
      </w:r>
      <w:proofErr w:type="spellStart"/>
      <w:r w:rsidRPr="006D18E4">
        <w:rPr>
          <w:rFonts w:ascii="Times New Roman" w:eastAsia="Times New Roman" w:hAnsi="Times New Roman" w:cs="Times New Roman"/>
          <w:sz w:val="22"/>
          <w:szCs w:val="22"/>
          <w:lang w:val="es-419"/>
        </w:rPr>
        <w:t>subcompetencias</w:t>
      </w:r>
      <w:proofErr w:type="spellEnd"/>
      <w:r w:rsidRPr="006D18E4">
        <w:rPr>
          <w:rFonts w:ascii="Times New Roman" w:eastAsia="Times New Roman" w:hAnsi="Times New Roman" w:cs="Times New Roman"/>
          <w:sz w:val="22"/>
          <w:szCs w:val="22"/>
          <w:lang w:val="es-419"/>
        </w:rPr>
        <w:t xml:space="preserve"> se pue</w:t>
      </w:r>
      <w:r w:rsidR="00563EE7">
        <w:rPr>
          <w:rFonts w:ascii="Times New Roman" w:eastAsia="Times New Roman" w:hAnsi="Times New Roman" w:cs="Times New Roman"/>
          <w:sz w:val="22"/>
          <w:szCs w:val="22"/>
          <w:lang w:val="es-419"/>
        </w:rPr>
        <w:t>de</w:t>
      </w:r>
      <w:r w:rsidRPr="006D18E4">
        <w:rPr>
          <w:rFonts w:ascii="Times New Roman" w:eastAsia="Times New Roman" w:hAnsi="Times New Roman" w:cs="Times New Roman"/>
          <w:sz w:val="22"/>
          <w:szCs w:val="22"/>
          <w:lang w:val="es-419"/>
        </w:rPr>
        <w:t xml:space="preserve"> encontrar en Godino et al. (2017).</w:t>
      </w:r>
    </w:p>
    <w:p w14:paraId="2EFC6B91" w14:textId="1E974F8F" w:rsidR="235DF6B6" w:rsidRPr="006D18E4" w:rsidRDefault="006D18E4" w:rsidP="006D18E4">
      <w:pPr>
        <w:spacing w:after="120"/>
        <w:ind w:firstLine="709"/>
        <w:jc w:val="both"/>
        <w:rPr>
          <w:rFonts w:ascii="Times New Roman" w:eastAsia="Times New Roman" w:hAnsi="Times New Roman" w:cs="Times New Roman"/>
          <w:sz w:val="22"/>
          <w:szCs w:val="22"/>
          <w:lang w:val="es-419"/>
        </w:rPr>
      </w:pPr>
      <w:r w:rsidRPr="006D18E4">
        <w:rPr>
          <w:rFonts w:ascii="Times New Roman" w:eastAsia="Times New Roman" w:hAnsi="Times New Roman" w:cs="Times New Roman"/>
          <w:sz w:val="22"/>
          <w:szCs w:val="22"/>
          <w:lang w:val="es-419"/>
        </w:rPr>
        <w:t xml:space="preserve">La idoneidad didáctica de un proceso de instrucción se entiende como el grado en que dicho proceso (o una parte de este) reúne ciertas características que permiten calificarlo como óptimo o adecuado para conseguir la adaptación entre los significados personales logrados por los estudiantes (aprendizaje) y los significados institucionales pretendidos o implementados (enseñanza), teniendo en cuenta las circunstancias y recursos disponibles (entorno) (Breda et al., 2017). Supone la articulación coherente y sistémica de las facetas que intervienen en los procesos de enseñanza y aprendizaje (Godino et al., 2007): epistémica, ecológica, cognitiva, afectiva, interaccional y mediacional. Para cada una de estas dimensiones, se identifica un sistema de componentes e indicadores empíricos generales, que constituyen una guía para el análisis y reflexión sistemática, persiguiendo la mejora progresiva de los procesos de enseñanza y aprendizaje. Estos indicadores de idoneidad deben enriquecerse y adaptarse de acuerdo con el contenido matemático específico que se pretende enseñar (Breda et al., 2017), pero también al tipo de medio instruccional, entendiendo que ambos condicionan aspectos de los distintos componentes en </w:t>
      </w:r>
      <w:r w:rsidRPr="006D18E4">
        <w:rPr>
          <w:rFonts w:ascii="Times New Roman" w:eastAsia="Times New Roman" w:hAnsi="Times New Roman" w:cs="Times New Roman"/>
          <w:sz w:val="22"/>
          <w:szCs w:val="22"/>
          <w:lang w:val="es-419"/>
        </w:rPr>
        <w:lastRenderedPageBreak/>
        <w:t xml:space="preserve">la idoneidad didáctica. Así, en </w:t>
      </w:r>
      <w:r w:rsidR="00E6547F">
        <w:rPr>
          <w:rFonts w:ascii="Times New Roman" w:eastAsia="Times New Roman" w:hAnsi="Times New Roman" w:cs="Times New Roman"/>
          <w:sz w:val="22"/>
          <w:szCs w:val="22"/>
          <w:lang w:val="es-419"/>
        </w:rPr>
        <w:t>Autor</w:t>
      </w:r>
      <w:r w:rsidRPr="006D18E4">
        <w:rPr>
          <w:rFonts w:ascii="Times New Roman" w:eastAsia="Times New Roman" w:hAnsi="Times New Roman" w:cs="Times New Roman"/>
          <w:sz w:val="22"/>
          <w:szCs w:val="22"/>
          <w:lang w:val="es-419"/>
        </w:rPr>
        <w:t xml:space="preserve"> et al. (2021) el sistema de componentes e indicadores de idoneidad didáctica de Godino (2013) se revisa y particulariza para desarrollar una Guía de Análisis de Lecciones de libros de Texto de proporcionalidad (GALT-proporcionalidad) como herramienta para orientar la reflexión de los docentes en formación o en ejercicio sobre los procesos de instrucción planificados en lecciones de libros de texto sobre proporcionalidad.  Dicha guía incluye indicadores específicos, fundamentados en una revisión exhaustiva de resultados de investigaciones y en juicios de expertos asumidos por la comunidad académica (Breda et al., 2017), que permiten identificar conocimientos didáctico-matemáticos que han de tenerse en cuenta en la evaluación, rediseño o gestión de los procesos de estudio de la proporcionalidad.</w:t>
      </w:r>
    </w:p>
    <w:p w14:paraId="76BAB837" w14:textId="7CC88DB2" w:rsidR="235DF6B6" w:rsidRPr="00336767" w:rsidRDefault="235DF6B6" w:rsidP="00336767">
      <w:pPr>
        <w:spacing w:after="120"/>
        <w:rPr>
          <w:sz w:val="22"/>
          <w:szCs w:val="22"/>
        </w:rPr>
      </w:pPr>
    </w:p>
    <w:p w14:paraId="0294245E" w14:textId="7522BF4F" w:rsidR="235DF6B6" w:rsidRPr="00DF1548" w:rsidRDefault="235DF6B6" w:rsidP="00354577">
      <w:pPr>
        <w:spacing w:line="360" w:lineRule="auto"/>
        <w:ind w:firstLine="709"/>
        <w:rPr>
          <w:sz w:val="22"/>
          <w:szCs w:val="22"/>
        </w:rPr>
      </w:pPr>
      <w:r w:rsidRPr="00DF1548">
        <w:rPr>
          <w:rFonts w:ascii="Times New Roman" w:eastAsia="Times New Roman" w:hAnsi="Times New Roman" w:cs="Times New Roman"/>
          <w:b/>
          <w:bCs/>
        </w:rPr>
        <w:t>M</w:t>
      </w:r>
      <w:r w:rsidR="00563EE7" w:rsidRPr="00DF1548">
        <w:rPr>
          <w:rFonts w:ascii="Times New Roman" w:eastAsia="Times New Roman" w:hAnsi="Times New Roman" w:cs="Times New Roman"/>
          <w:b/>
          <w:bCs/>
        </w:rPr>
        <w:t>ÉTODO</w:t>
      </w:r>
    </w:p>
    <w:p w14:paraId="2D808FBD" w14:textId="66E18E0C" w:rsidR="235DF6B6" w:rsidRPr="00563EE7" w:rsidRDefault="00563EE7" w:rsidP="005A1717">
      <w:pPr>
        <w:spacing w:after="120"/>
        <w:ind w:firstLine="709"/>
        <w:jc w:val="both"/>
        <w:rPr>
          <w:sz w:val="22"/>
          <w:szCs w:val="22"/>
        </w:rPr>
      </w:pPr>
      <w:r w:rsidRPr="00563EE7">
        <w:rPr>
          <w:rFonts w:ascii="Times New Roman" w:eastAsia="Times New Roman" w:hAnsi="Times New Roman" w:cs="Times New Roman"/>
          <w:sz w:val="22"/>
          <w:szCs w:val="22"/>
        </w:rPr>
        <w:t xml:space="preserve">Este trabajo se enmarca en un enfoque de investigación interpretativa de tipo exploratorio. </w:t>
      </w:r>
      <w:r w:rsidRPr="00DF1548">
        <w:rPr>
          <w:rFonts w:ascii="Times New Roman" w:eastAsia="Times New Roman" w:hAnsi="Times New Roman" w:cs="Times New Roman"/>
          <w:sz w:val="22"/>
          <w:szCs w:val="22"/>
        </w:rPr>
        <w:t>Se aplica el método de las investigaciones de diseño (Cobb et al., 2003) en un contexto real de clase basado en la planificación, implementación y análisis retrospectivo de una intervención. Además, se aplica el análisis de contenido (Cohen et al., 2011) para examinar los protocolos de respuesta de los estudiantes para maestro de primaria (MF en adelante) que intervinieron en la experiencia formativa.</w:t>
      </w:r>
      <w:r w:rsidR="009B7C48">
        <w:rPr>
          <w:rStyle w:val="Refdenotaalpie"/>
          <w:rFonts w:ascii="Times New Roman" w:eastAsia="Times New Roman" w:hAnsi="Times New Roman" w:cs="Times New Roman"/>
          <w:sz w:val="22"/>
          <w:szCs w:val="22"/>
        </w:rPr>
        <w:footnoteReference w:id="1"/>
      </w:r>
    </w:p>
    <w:p w14:paraId="7DEB6263" w14:textId="39FE2CE5" w:rsidR="00563EE7" w:rsidRPr="00647581" w:rsidRDefault="00647581" w:rsidP="00563EE7">
      <w:pPr>
        <w:spacing w:line="360" w:lineRule="auto"/>
        <w:ind w:firstLine="709"/>
        <w:jc w:val="both"/>
        <w:rPr>
          <w:rFonts w:ascii="Times New Roman" w:eastAsia="Times New Roman" w:hAnsi="Times New Roman" w:cs="Times New Roman"/>
          <w:b/>
          <w:bCs/>
          <w:sz w:val="22"/>
          <w:szCs w:val="22"/>
        </w:rPr>
      </w:pPr>
      <w:r w:rsidRPr="00647581">
        <w:rPr>
          <w:rFonts w:ascii="Times New Roman" w:eastAsia="Times New Roman" w:hAnsi="Times New Roman" w:cs="Times New Roman"/>
          <w:b/>
          <w:bCs/>
          <w:sz w:val="22"/>
          <w:szCs w:val="22"/>
        </w:rPr>
        <w:t>Contexto de la investigación y participantes</w:t>
      </w:r>
    </w:p>
    <w:p w14:paraId="6C6B9135" w14:textId="32191050" w:rsidR="00647581" w:rsidRPr="00647581" w:rsidRDefault="00647581" w:rsidP="00647581">
      <w:pPr>
        <w:spacing w:after="120"/>
        <w:ind w:firstLine="709"/>
        <w:jc w:val="both"/>
        <w:rPr>
          <w:rFonts w:ascii="Times New Roman" w:eastAsia="Times New Roman" w:hAnsi="Times New Roman" w:cs="Times New Roman"/>
          <w:sz w:val="22"/>
          <w:szCs w:val="22"/>
        </w:rPr>
      </w:pPr>
      <w:r w:rsidRPr="00647581">
        <w:rPr>
          <w:rFonts w:ascii="Times New Roman" w:eastAsia="Times New Roman" w:hAnsi="Times New Roman" w:cs="Times New Roman"/>
          <w:sz w:val="22"/>
          <w:szCs w:val="22"/>
        </w:rPr>
        <w:t>Como parte de la investigación, se habían planificado ciclos formativos que implican el diseño de tareas, su implementación efectiva y el análisis retrospectivo de cada experiencia. Un primer ciclo se implementó como prueba piloto en el año 2020 con un grupo de estudiantes de tercer curso del grado de Educación Primaria (</w:t>
      </w:r>
      <w:r w:rsidR="00E6547F">
        <w:rPr>
          <w:rFonts w:ascii="Times New Roman" w:eastAsia="Times New Roman" w:hAnsi="Times New Roman" w:cs="Times New Roman"/>
          <w:sz w:val="22"/>
          <w:szCs w:val="22"/>
          <w:lang w:val="es-419"/>
        </w:rPr>
        <w:t>Autor</w:t>
      </w:r>
      <w:r w:rsidRPr="00647581">
        <w:rPr>
          <w:rFonts w:ascii="Times New Roman" w:eastAsia="Times New Roman" w:hAnsi="Times New Roman" w:cs="Times New Roman"/>
          <w:sz w:val="22"/>
          <w:szCs w:val="22"/>
        </w:rPr>
        <w:t xml:space="preserve">, 2022b). Un segundo ciclo se implementó en el año 2021 con 48 estudiantes también de tercer curso del grado de Educación Primaria. En ambos casos, la experiencia formativa se desarrolló en el marco de la asignatura Diseño y Desarrollo del Currículum de Matemáticas en Primaria, en una universidad española. En esta asignatura, se imparten dos clases semanales: la primera (de dos horas de duración) teórica, en gran grupo, y la segunda (de una hora de duración) de carácter práctico, en grupos reducidos, </w:t>
      </w:r>
      <w:r w:rsidRPr="00647581">
        <w:rPr>
          <w:rFonts w:ascii="Times New Roman" w:eastAsia="Times New Roman" w:hAnsi="Times New Roman" w:cs="Times New Roman"/>
          <w:sz w:val="22"/>
          <w:szCs w:val="22"/>
        </w:rPr>
        <w:lastRenderedPageBreak/>
        <w:t xml:space="preserve">y en la que los estudiantes trabajan de manera colaborativa (equipos de 4 o 5 integrantes).  </w:t>
      </w:r>
    </w:p>
    <w:p w14:paraId="75AE84D4" w14:textId="77777777" w:rsidR="00647581" w:rsidRPr="00647581" w:rsidRDefault="00647581" w:rsidP="00647581">
      <w:pPr>
        <w:spacing w:after="120"/>
        <w:ind w:firstLine="709"/>
        <w:jc w:val="both"/>
        <w:rPr>
          <w:rFonts w:ascii="Times New Roman" w:eastAsia="Times New Roman" w:hAnsi="Times New Roman" w:cs="Times New Roman"/>
          <w:sz w:val="22"/>
          <w:szCs w:val="22"/>
        </w:rPr>
      </w:pPr>
      <w:r w:rsidRPr="00647581">
        <w:rPr>
          <w:rFonts w:ascii="Times New Roman" w:eastAsia="Times New Roman" w:hAnsi="Times New Roman" w:cs="Times New Roman"/>
          <w:sz w:val="22"/>
          <w:szCs w:val="22"/>
        </w:rPr>
        <w:t xml:space="preserve">Durante los estudios de grado, los estudiantes han recibido formación específica sobre aspectos epistémicos, cognitivos (aprendizaje matemático, errores y dificultades), instruccionales (tareas y actividades, materiales y recursos) y curriculares, de tal forma que en el momento en que se desarrolla la experiencia, se espera que los participantes sean capaces de poner en práctica el conocimiento adquirido para resolver, diseñar y secuenciar tareas matemáticas de acuerdo a unos contenidos específicos, en nuestro caso la proporcionalidad. En la asignatura de Diseño y Desarrollo del Currículum se contempla el uso y análisis del libro de texto como recurso en el aula de matemáticas, la planificación y evaluación de procesos de enseñanza y aprendizaje.  </w:t>
      </w:r>
    </w:p>
    <w:p w14:paraId="4A2A6334" w14:textId="432AAC7B" w:rsidR="00563EE7" w:rsidRPr="00647581" w:rsidRDefault="00647581" w:rsidP="00647581">
      <w:pPr>
        <w:spacing w:after="120"/>
        <w:ind w:firstLine="709"/>
        <w:jc w:val="both"/>
        <w:rPr>
          <w:rFonts w:ascii="Times New Roman" w:eastAsia="Times New Roman" w:hAnsi="Times New Roman" w:cs="Times New Roman"/>
          <w:sz w:val="22"/>
          <w:szCs w:val="22"/>
        </w:rPr>
      </w:pPr>
      <w:r w:rsidRPr="00647581">
        <w:rPr>
          <w:rFonts w:ascii="Times New Roman" w:eastAsia="Times New Roman" w:hAnsi="Times New Roman" w:cs="Times New Roman"/>
          <w:sz w:val="22"/>
          <w:szCs w:val="22"/>
        </w:rPr>
        <w:t>En este trabajo analizamos la información recogida en dicho segundo ciclo a partir de las anotaciones del observador/investigador y las respuestas escritas de los MF a la tarea de evaluación propuesta al final del curso. Éstas fueron examinadas por el equipo investigador aplicando el análisis de contenido y considerando como categorías los componentes e indicadores asociados para las distintas facetas propuestos por el EOS.</w:t>
      </w:r>
    </w:p>
    <w:p w14:paraId="7AB6F71F" w14:textId="1862D581" w:rsidR="00647581" w:rsidRPr="00DF1548" w:rsidRDefault="00647581" w:rsidP="00647581">
      <w:pPr>
        <w:spacing w:line="360" w:lineRule="auto"/>
        <w:ind w:firstLine="709"/>
        <w:jc w:val="both"/>
        <w:rPr>
          <w:rFonts w:ascii="Times New Roman" w:eastAsia="Times New Roman" w:hAnsi="Times New Roman" w:cs="Times New Roman"/>
          <w:b/>
          <w:bCs/>
          <w:sz w:val="22"/>
          <w:szCs w:val="22"/>
        </w:rPr>
      </w:pPr>
      <w:r w:rsidRPr="00DF1548">
        <w:rPr>
          <w:rFonts w:ascii="Times New Roman" w:eastAsia="Times New Roman" w:hAnsi="Times New Roman" w:cs="Times New Roman"/>
          <w:b/>
          <w:bCs/>
          <w:sz w:val="22"/>
          <w:szCs w:val="22"/>
        </w:rPr>
        <w:t>Diseño e implementación</w:t>
      </w:r>
    </w:p>
    <w:p w14:paraId="4905115B" w14:textId="01BA4278" w:rsidR="00EB488A" w:rsidRPr="00DF1548" w:rsidRDefault="00EB488A" w:rsidP="00EB488A">
      <w:pPr>
        <w:keepNext/>
        <w:spacing w:line="360" w:lineRule="auto"/>
        <w:ind w:firstLine="709"/>
        <w:jc w:val="both"/>
        <w:rPr>
          <w:rFonts w:ascii="Times New Roman" w:eastAsia="Times New Roman" w:hAnsi="Times New Roman" w:cs="Times New Roman"/>
          <w:b/>
          <w:bCs/>
          <w:i/>
          <w:iCs/>
          <w:sz w:val="22"/>
          <w:szCs w:val="22"/>
        </w:rPr>
      </w:pPr>
      <w:r w:rsidRPr="00DF1548">
        <w:rPr>
          <w:rFonts w:ascii="Times New Roman" w:eastAsia="Times New Roman" w:hAnsi="Times New Roman" w:cs="Times New Roman"/>
          <w:b/>
          <w:bCs/>
          <w:i/>
          <w:iCs/>
          <w:sz w:val="22"/>
          <w:szCs w:val="22"/>
        </w:rPr>
        <w:t>Actividad de exploración inicial</w:t>
      </w:r>
    </w:p>
    <w:p w14:paraId="6277BA88" w14:textId="7292D11B"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t>Para involucrar a los MF en una reflexión sobre la necesidad de disponer de herramientas teórico-metodológicas que permitan orientar al profesorado en la valoración sistemática de la práctica docente, se les planteó como actividad voluntaria, de manera previa a la sesión formativa sobre análisis de libros de texto, que leyeran detenidamente la lección de “Proporcionalidad y porcentajes” de González et al. (2015) y respondieran a las siguientes cuestiones: ¿qué te ha parecido la lección que acabas de analizar?; ¿has identificado algún error o algún elemento que pueda suponer una limitación en el aprendizaje por parte de los alumnos?</w:t>
      </w:r>
    </w:p>
    <w:p w14:paraId="3DF3585C" w14:textId="016408D0" w:rsidR="00EB488A" w:rsidRPr="00EB488A" w:rsidRDefault="00EB488A" w:rsidP="00EB488A">
      <w:pPr>
        <w:keepNext/>
        <w:spacing w:line="360" w:lineRule="auto"/>
        <w:ind w:firstLine="709"/>
        <w:jc w:val="both"/>
        <w:rPr>
          <w:rFonts w:ascii="Times New Roman" w:eastAsia="Times New Roman" w:hAnsi="Times New Roman" w:cs="Times New Roman"/>
          <w:b/>
          <w:bCs/>
          <w:i/>
          <w:iCs/>
          <w:sz w:val="22"/>
          <w:szCs w:val="22"/>
        </w:rPr>
      </w:pPr>
      <w:r w:rsidRPr="00EB488A">
        <w:rPr>
          <w:rFonts w:ascii="Times New Roman" w:eastAsia="Times New Roman" w:hAnsi="Times New Roman" w:cs="Times New Roman"/>
          <w:b/>
          <w:bCs/>
          <w:i/>
          <w:iCs/>
          <w:sz w:val="22"/>
          <w:szCs w:val="22"/>
        </w:rPr>
        <w:t>Introducción al análisis didáctico de lecciones de libros de texto</w:t>
      </w:r>
    </w:p>
    <w:p w14:paraId="4C18B78A" w14:textId="1C41F52E"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t xml:space="preserve">La instrucción a los MF sobre el análisis didáctico de lecciones de libros de texto se desarrolló a lo largo de dos sesiones de clase (2 horas de duración cada una) impartidas de forma virtual a través de la plataforma Google </w:t>
      </w:r>
      <w:proofErr w:type="spellStart"/>
      <w:r w:rsidRPr="00EB488A">
        <w:rPr>
          <w:rFonts w:ascii="Times New Roman" w:eastAsia="Times New Roman" w:hAnsi="Times New Roman" w:cs="Times New Roman"/>
          <w:sz w:val="22"/>
          <w:szCs w:val="22"/>
        </w:rPr>
        <w:t>Meet</w:t>
      </w:r>
      <w:proofErr w:type="spellEnd"/>
      <w:r w:rsidRPr="00EB488A">
        <w:rPr>
          <w:rFonts w:ascii="Times New Roman" w:eastAsia="Times New Roman" w:hAnsi="Times New Roman" w:cs="Times New Roman"/>
          <w:sz w:val="22"/>
          <w:szCs w:val="22"/>
        </w:rPr>
        <w:t>. La primera sesión se destinó a describir una metodología para el análisis de lecciones de libros de texto:</w:t>
      </w:r>
    </w:p>
    <w:p w14:paraId="6B45FBB4" w14:textId="200666BB"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lastRenderedPageBreak/>
        <w:t>1.</w:t>
      </w:r>
      <w:r>
        <w:rPr>
          <w:rFonts w:ascii="Times New Roman" w:eastAsia="Times New Roman" w:hAnsi="Times New Roman" w:cs="Times New Roman"/>
          <w:sz w:val="22"/>
          <w:szCs w:val="22"/>
        </w:rPr>
        <w:t xml:space="preserve"> </w:t>
      </w:r>
      <w:r w:rsidRPr="00EB488A">
        <w:rPr>
          <w:rFonts w:ascii="Times New Roman" w:eastAsia="Times New Roman" w:hAnsi="Times New Roman" w:cs="Times New Roman"/>
          <w:i/>
          <w:iCs/>
          <w:sz w:val="22"/>
          <w:szCs w:val="22"/>
        </w:rPr>
        <w:t>Descripción</w:t>
      </w:r>
      <w:r w:rsidRPr="00EB488A">
        <w:rPr>
          <w:rFonts w:ascii="Times New Roman" w:eastAsia="Times New Roman" w:hAnsi="Times New Roman" w:cs="Times New Roman"/>
          <w:sz w:val="22"/>
          <w:szCs w:val="22"/>
        </w:rPr>
        <w:t xml:space="preserve"> general de la lección y división en unidades elementales de análisis (configuraciones didácticas).</w:t>
      </w:r>
    </w:p>
    <w:p w14:paraId="76D608AC" w14:textId="7CDFD6BE"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t>2.</w:t>
      </w:r>
      <w:r>
        <w:rPr>
          <w:rFonts w:ascii="Times New Roman" w:eastAsia="Times New Roman" w:hAnsi="Times New Roman" w:cs="Times New Roman"/>
          <w:sz w:val="22"/>
          <w:szCs w:val="22"/>
        </w:rPr>
        <w:t xml:space="preserve"> </w:t>
      </w:r>
      <w:r w:rsidRPr="00EB488A">
        <w:rPr>
          <w:rFonts w:ascii="Times New Roman" w:eastAsia="Times New Roman" w:hAnsi="Times New Roman" w:cs="Times New Roman"/>
          <w:i/>
          <w:iCs/>
          <w:sz w:val="22"/>
          <w:szCs w:val="22"/>
        </w:rPr>
        <w:t>Análisis ontosemiótico</w:t>
      </w:r>
      <w:r w:rsidRPr="00EB488A">
        <w:rPr>
          <w:rFonts w:ascii="Times New Roman" w:eastAsia="Times New Roman" w:hAnsi="Times New Roman" w:cs="Times New Roman"/>
          <w:sz w:val="22"/>
          <w:szCs w:val="22"/>
        </w:rPr>
        <w:t>. Para cada una de las unidades de análisis o configuraciones didácticas en que se divide la lección:</w:t>
      </w:r>
    </w:p>
    <w:p w14:paraId="0C179810" w14:textId="19662BF9"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t>a)</w:t>
      </w:r>
      <w:r>
        <w:rPr>
          <w:rFonts w:ascii="Times New Roman" w:eastAsia="Times New Roman" w:hAnsi="Times New Roman" w:cs="Times New Roman"/>
          <w:sz w:val="22"/>
          <w:szCs w:val="22"/>
        </w:rPr>
        <w:t xml:space="preserve"> </w:t>
      </w:r>
      <w:r w:rsidRPr="00EB488A">
        <w:rPr>
          <w:rFonts w:ascii="Times New Roman" w:eastAsia="Times New Roman" w:hAnsi="Times New Roman" w:cs="Times New Roman"/>
          <w:sz w:val="22"/>
          <w:szCs w:val="22"/>
        </w:rPr>
        <w:t>detallar las prácticas matemáticas que se proponen;</w:t>
      </w:r>
    </w:p>
    <w:p w14:paraId="00314EBF" w14:textId="5EC1459B"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t>b)</w:t>
      </w:r>
      <w:r>
        <w:rPr>
          <w:rFonts w:ascii="Times New Roman" w:eastAsia="Times New Roman" w:hAnsi="Times New Roman" w:cs="Times New Roman"/>
          <w:sz w:val="22"/>
          <w:szCs w:val="22"/>
        </w:rPr>
        <w:t xml:space="preserve"> </w:t>
      </w:r>
      <w:r w:rsidRPr="00EB488A">
        <w:rPr>
          <w:rFonts w:ascii="Times New Roman" w:eastAsia="Times New Roman" w:hAnsi="Times New Roman" w:cs="Times New Roman"/>
          <w:sz w:val="22"/>
          <w:szCs w:val="22"/>
        </w:rPr>
        <w:t>identificar los objetos matemáticos (conceptos, procedimientos, proposiciones, argumentos y lenguajes) que intervienen en las mismas,</w:t>
      </w:r>
    </w:p>
    <w:p w14:paraId="7EA699F3" w14:textId="62B37607"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t>c)</w:t>
      </w:r>
      <w:r>
        <w:rPr>
          <w:rFonts w:ascii="Times New Roman" w:eastAsia="Times New Roman" w:hAnsi="Times New Roman" w:cs="Times New Roman"/>
          <w:sz w:val="22"/>
          <w:szCs w:val="22"/>
        </w:rPr>
        <w:t xml:space="preserve"> </w:t>
      </w:r>
      <w:r w:rsidRPr="00EB488A">
        <w:rPr>
          <w:rFonts w:ascii="Times New Roman" w:eastAsia="Times New Roman" w:hAnsi="Times New Roman" w:cs="Times New Roman"/>
          <w:sz w:val="22"/>
          <w:szCs w:val="22"/>
        </w:rPr>
        <w:t>describir los principales procesos matemáticos.</w:t>
      </w:r>
    </w:p>
    <w:p w14:paraId="586CF1B1" w14:textId="07E9E2EA"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t>3.</w:t>
      </w:r>
      <w:r>
        <w:rPr>
          <w:rFonts w:ascii="Times New Roman" w:eastAsia="Times New Roman" w:hAnsi="Times New Roman" w:cs="Times New Roman"/>
          <w:sz w:val="22"/>
          <w:szCs w:val="22"/>
        </w:rPr>
        <w:t xml:space="preserve"> </w:t>
      </w:r>
      <w:r w:rsidRPr="00EB488A">
        <w:rPr>
          <w:rFonts w:ascii="Times New Roman" w:eastAsia="Times New Roman" w:hAnsi="Times New Roman" w:cs="Times New Roman"/>
          <w:i/>
          <w:iCs/>
          <w:sz w:val="22"/>
          <w:szCs w:val="22"/>
        </w:rPr>
        <w:t>Valoración de la idoneidad didáctica de la lección</w:t>
      </w:r>
      <w:r w:rsidRPr="00EB488A">
        <w:rPr>
          <w:rFonts w:ascii="Times New Roman" w:eastAsia="Times New Roman" w:hAnsi="Times New Roman" w:cs="Times New Roman"/>
          <w:sz w:val="22"/>
          <w:szCs w:val="22"/>
        </w:rPr>
        <w:t xml:space="preserve">, identificando los conflictos epistémicos, cognitivos e instruccionales que se observan. </w:t>
      </w:r>
    </w:p>
    <w:p w14:paraId="6681099C" w14:textId="77777777"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t>El análisis de una lección se ejemplificó usando el texto “Porcentajes y proporcionalidad” del libro de Ferrero et al. (2015) para sexto curso de primaria. Después de esta primera sesión formativa, se dedicó la correspondiente sesión de prácticas de la asignatura a la realización (trabajando en grupo) de la primera parte del análisis de la lección (descripción general y análisis ontosemiótico de las distintas configuraciones en que se divide la lección) de proporcionalidad para sexto curso de educación primaria de González et al. (2015).</w:t>
      </w:r>
    </w:p>
    <w:p w14:paraId="2CF01208" w14:textId="7F5A9E9A" w:rsidR="00EB488A" w:rsidRPr="00EB488A" w:rsidRDefault="00EB488A" w:rsidP="00EB488A">
      <w:pPr>
        <w:spacing w:after="120"/>
        <w:ind w:firstLine="709"/>
        <w:jc w:val="both"/>
        <w:rPr>
          <w:rFonts w:ascii="Times New Roman" w:eastAsia="Times New Roman" w:hAnsi="Times New Roman" w:cs="Times New Roman"/>
          <w:sz w:val="22"/>
          <w:szCs w:val="22"/>
        </w:rPr>
      </w:pPr>
      <w:r w:rsidRPr="00EB488A">
        <w:rPr>
          <w:rFonts w:ascii="Times New Roman" w:eastAsia="Times New Roman" w:hAnsi="Times New Roman" w:cs="Times New Roman"/>
          <w:sz w:val="22"/>
          <w:szCs w:val="22"/>
        </w:rPr>
        <w:t>En la segunda sesión formativa se presentó la idoneidad didáctica como criterio global para valorar un proceso de instrucción (o una parte de este) previsto, planificado o implementado. La reflexión sobre la idoneidad didáctica de una lección de libro de texto sobre un tema específico requiere tener en cuenta tanto el análisis de prácticas, objetos y procesos previo, como los conocimientos didáctico-matemáticos sobre dicho contenido (en nuestro caso, la proporcionalidad).</w:t>
      </w:r>
    </w:p>
    <w:p w14:paraId="102402BB" w14:textId="77777777" w:rsidR="001A32C4" w:rsidRPr="001A32C4" w:rsidRDefault="001A32C4" w:rsidP="001A32C4">
      <w:pPr>
        <w:keepNext/>
        <w:spacing w:line="360" w:lineRule="auto"/>
        <w:ind w:firstLine="709"/>
        <w:jc w:val="both"/>
        <w:rPr>
          <w:rFonts w:ascii="Times New Roman" w:eastAsia="Times New Roman" w:hAnsi="Times New Roman" w:cs="Times New Roman"/>
          <w:b/>
          <w:bCs/>
          <w:i/>
          <w:iCs/>
          <w:sz w:val="22"/>
          <w:szCs w:val="22"/>
        </w:rPr>
      </w:pPr>
      <w:r w:rsidRPr="001A32C4">
        <w:rPr>
          <w:rFonts w:ascii="Times New Roman" w:eastAsia="Times New Roman" w:hAnsi="Times New Roman" w:cs="Times New Roman"/>
          <w:b/>
          <w:bCs/>
          <w:i/>
          <w:iCs/>
          <w:sz w:val="22"/>
          <w:szCs w:val="22"/>
        </w:rPr>
        <w:t>Evaluación de la competencia de análisis de idoneidad didáctica</w:t>
      </w:r>
    </w:p>
    <w:p w14:paraId="50898910" w14:textId="6A7C51D2"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Después de la segunda sesión formativa, los MF trabajaron de manera individual sobre el análisis de la idoneidad didáctica e identificación de conflictos en la lección de proporcionalidad de González et al. (2015). Es la misma lección considerada en la sesión de trabajo colaborativo para realizar el análisis de prácticas, objetos y procesos.  Para ello se les facilitó las tablas que componen la GALT-proporcionalidad, adaptada de (</w:t>
      </w:r>
      <w:r w:rsidR="00E6547F">
        <w:rPr>
          <w:rFonts w:ascii="Times New Roman" w:eastAsia="Times New Roman" w:hAnsi="Times New Roman" w:cs="Times New Roman"/>
          <w:sz w:val="22"/>
          <w:szCs w:val="22"/>
          <w:lang w:val="es-419"/>
        </w:rPr>
        <w:t>Autor</w:t>
      </w:r>
      <w:r w:rsidRPr="001A32C4">
        <w:rPr>
          <w:rFonts w:ascii="Times New Roman" w:eastAsia="Times New Roman" w:hAnsi="Times New Roman" w:cs="Times New Roman"/>
          <w:sz w:val="22"/>
          <w:szCs w:val="22"/>
        </w:rPr>
        <w:t xml:space="preserve"> et al., 2022a). A continuación, debían responder a la siguiente consigna:</w:t>
      </w:r>
    </w:p>
    <w:p w14:paraId="6ED1B22A" w14:textId="475C0F71" w:rsidR="6BE161BA" w:rsidRPr="001A32C4" w:rsidRDefault="001A32C4" w:rsidP="001A32C4">
      <w:pPr>
        <w:spacing w:after="120"/>
        <w:ind w:firstLine="709"/>
        <w:jc w:val="both"/>
        <w:rPr>
          <w:rFonts w:ascii="Times New Roman" w:eastAsia="Times New Roman" w:hAnsi="Times New Roman" w:cs="Times New Roman"/>
          <w:i/>
          <w:iCs/>
          <w:sz w:val="22"/>
          <w:szCs w:val="22"/>
        </w:rPr>
      </w:pPr>
      <w:r w:rsidRPr="001A32C4">
        <w:rPr>
          <w:rFonts w:ascii="Times New Roman" w:eastAsia="Times New Roman" w:hAnsi="Times New Roman" w:cs="Times New Roman"/>
          <w:i/>
          <w:iCs/>
          <w:sz w:val="22"/>
          <w:szCs w:val="22"/>
        </w:rPr>
        <w:t xml:space="preserve">¿Qué cambios introduciríais en el proceso de enseñanza y aprendizaje para resolver los conflictos que has identificado y mejorar el proceso de estudio planteado en la lección del libro de texto? En base a los conflictos detectados, </w:t>
      </w:r>
      <w:r w:rsidRPr="001A32C4">
        <w:rPr>
          <w:rFonts w:ascii="Times New Roman" w:eastAsia="Times New Roman" w:hAnsi="Times New Roman" w:cs="Times New Roman"/>
          <w:i/>
          <w:iCs/>
          <w:sz w:val="22"/>
          <w:szCs w:val="22"/>
        </w:rPr>
        <w:lastRenderedPageBreak/>
        <w:t>precisa de forma concreta y justificada cómo solucionarías al menos cuatro de estos.</w:t>
      </w:r>
    </w:p>
    <w:p w14:paraId="07E49F8E" w14:textId="13F2A80F" w:rsidR="235DF6B6" w:rsidRPr="001A3ECC" w:rsidRDefault="4EEBA680" w:rsidP="00354577">
      <w:pPr>
        <w:spacing w:line="360" w:lineRule="auto"/>
        <w:ind w:firstLine="709"/>
        <w:rPr>
          <w:sz w:val="22"/>
          <w:szCs w:val="22"/>
        </w:rPr>
      </w:pPr>
      <w:r w:rsidRPr="001A3ECC">
        <w:rPr>
          <w:rFonts w:ascii="Times New Roman" w:eastAsia="Times New Roman" w:hAnsi="Times New Roman" w:cs="Times New Roman"/>
          <w:b/>
          <w:bCs/>
        </w:rPr>
        <w:t>RESULT</w:t>
      </w:r>
      <w:r w:rsidR="001A32C4">
        <w:rPr>
          <w:rFonts w:ascii="Times New Roman" w:eastAsia="Times New Roman" w:hAnsi="Times New Roman" w:cs="Times New Roman"/>
          <w:b/>
          <w:bCs/>
        </w:rPr>
        <w:t>ADOS</w:t>
      </w:r>
      <w:r w:rsidRPr="001A3ECC">
        <w:rPr>
          <w:rFonts w:ascii="Times New Roman" w:eastAsia="Times New Roman" w:hAnsi="Times New Roman" w:cs="Times New Roman"/>
          <w:sz w:val="22"/>
          <w:szCs w:val="22"/>
        </w:rPr>
        <w:t xml:space="preserve"> </w:t>
      </w:r>
    </w:p>
    <w:p w14:paraId="1EB5844A" w14:textId="77777777" w:rsidR="001A32C4" w:rsidRDefault="001A32C4" w:rsidP="001A32C4">
      <w:pPr>
        <w:spacing w:after="120"/>
        <w:ind w:firstLine="709"/>
        <w:jc w:val="both"/>
      </w:pPr>
      <w:r w:rsidRPr="001A32C4">
        <w:rPr>
          <w:rFonts w:ascii="Times New Roman" w:eastAsia="Times New Roman" w:hAnsi="Times New Roman" w:cs="Times New Roman"/>
          <w:sz w:val="22"/>
          <w:szCs w:val="22"/>
        </w:rPr>
        <w:t>Para analizar si la formación permite mejorar la competencia de los MF para identificar conflictos en la lección y les orienta en la toma de decisiones sobre la gestión del material, en esta sección, mostramos qué carencias indicaron los participantes en la tarea de diagnóstico, cuáles reconocieron de manera mayoritaria tras el análisis y cuáles fueron sus propuestas para solventarlos.</w:t>
      </w:r>
      <w:r w:rsidRPr="001A32C4">
        <w:t xml:space="preserve"> </w:t>
      </w:r>
    </w:p>
    <w:p w14:paraId="5EBBAF3F" w14:textId="12392925" w:rsidR="001A32C4" w:rsidRPr="001A32C4" w:rsidRDefault="001A32C4" w:rsidP="001A32C4">
      <w:pPr>
        <w:spacing w:line="360" w:lineRule="auto"/>
        <w:ind w:firstLine="709"/>
        <w:jc w:val="both"/>
        <w:rPr>
          <w:rFonts w:ascii="Times New Roman" w:eastAsia="Times New Roman" w:hAnsi="Times New Roman" w:cs="Times New Roman"/>
          <w:b/>
          <w:bCs/>
          <w:sz w:val="22"/>
          <w:szCs w:val="22"/>
        </w:rPr>
      </w:pPr>
      <w:r w:rsidRPr="001A32C4">
        <w:rPr>
          <w:rFonts w:ascii="Times New Roman" w:eastAsia="Times New Roman" w:hAnsi="Times New Roman" w:cs="Times New Roman"/>
          <w:b/>
          <w:bCs/>
          <w:sz w:val="22"/>
          <w:szCs w:val="22"/>
        </w:rPr>
        <w:t xml:space="preserve">Identificación inicial de conflictos en la lección </w:t>
      </w:r>
    </w:p>
    <w:p w14:paraId="613EE046" w14:textId="77777777"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 xml:space="preserve">Para mostrar el avance en la identificación de conflictos, es importante tener en cuenta qué aspectos precisaron los participantes en la tarea de exploración inicial. De los 48 participantes, 19 (es decir, un 39,58%) indicaron explícitamente que no observaban ningún error o elemento que pudiera suponer una limitación en el aprendizaje por parte de los alumnos. Los demás participantes identificaron conflictos que hemos clasificado según la dimensión a la que afecta: </w:t>
      </w:r>
    </w:p>
    <w:p w14:paraId="442EB5D8" w14:textId="77777777"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i/>
          <w:iCs/>
          <w:sz w:val="22"/>
          <w:szCs w:val="22"/>
        </w:rPr>
        <w:t>Conflictos epistémico-ecológicos</w:t>
      </w:r>
      <w:r w:rsidRPr="001A32C4">
        <w:rPr>
          <w:rFonts w:ascii="Times New Roman" w:eastAsia="Times New Roman" w:hAnsi="Times New Roman" w:cs="Times New Roman"/>
          <w:sz w:val="22"/>
          <w:szCs w:val="22"/>
        </w:rPr>
        <w:t xml:space="preserve"> (22 observaciones)</w:t>
      </w:r>
    </w:p>
    <w:p w14:paraId="4F030632" w14:textId="3E0B4CFA"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a)</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Los problemas no son adecuados o están descontextualizados (“la descontextualización de algunos de los ejercicios [..] algunos ejercicios se plantean de manera liosa”, MF14).</w:t>
      </w:r>
    </w:p>
    <w:p w14:paraId="42118721" w14:textId="34BB32EA"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b)</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Las representaciones son poco adecuadas o requieren explicación (“falta de analogías con representaciones pictóricas”, MF13).</w:t>
      </w:r>
    </w:p>
    <w:p w14:paraId="3579C419" w14:textId="0021A6EC"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c)</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 xml:space="preserve">Faltan contenidos fundamentales con relación al tema de la proporcionalidad o no están suficientemente explicados. Aquí se detalla, por ejemplo, la “explicación inadecuada de las magnitudes proporcionales” (MF40) o “de relación de proporcionalidad por medio de las tablas” (MF35). </w:t>
      </w:r>
    </w:p>
    <w:p w14:paraId="1B64B506" w14:textId="6BC5185F"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d)</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No se explica “para qué sirve el porcentaje” (MF29), los porcentajes no aparecen conectados con las fracciones y “no se estudian aumentos y disminuciones porcentuales” (MF2).</w:t>
      </w:r>
    </w:p>
    <w:p w14:paraId="018154AA" w14:textId="06646E21"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e)</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Algunos procedimientos fundamentales no están explicados: la regla de tres, cálculo de las distancias por medio de la aplicación de escala, “falta explicación de la reducción a la unidad” (MF43).</w:t>
      </w:r>
    </w:p>
    <w:p w14:paraId="5999BB0C" w14:textId="77777777"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i/>
          <w:iCs/>
          <w:sz w:val="22"/>
          <w:szCs w:val="22"/>
        </w:rPr>
        <w:t>Conflictos cognitivo-afectivos</w:t>
      </w:r>
      <w:r w:rsidRPr="001A32C4">
        <w:rPr>
          <w:rFonts w:ascii="Times New Roman" w:eastAsia="Times New Roman" w:hAnsi="Times New Roman" w:cs="Times New Roman"/>
          <w:sz w:val="22"/>
          <w:szCs w:val="22"/>
        </w:rPr>
        <w:t xml:space="preserve"> (10 observaciones)</w:t>
      </w:r>
    </w:p>
    <w:p w14:paraId="79A9AB86" w14:textId="4B63A967"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lastRenderedPageBreak/>
        <w:t>a)</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 xml:space="preserve">Falta de atención a conocimientos previos de fracciones, número decimal, unidades de medida y la conversión entre ellas. </w:t>
      </w:r>
    </w:p>
    <w:p w14:paraId="7D263C1F" w14:textId="05D2CDA6"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b)</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Dificultad de los problemas. Se considera que incluye “ejemplos demasiado complejos” (MF32), “algunos problemas son difíciles y podrían frustrar a los alumnos por no poder resolverlos” (MF26).</w:t>
      </w:r>
    </w:p>
    <w:p w14:paraId="3EDD689F" w14:textId="32E0E1EF"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c)</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 xml:space="preserve">No se fomenta el razonamiento matemático (“se sigue una estrategia explicada como ejemplo a los diversos problemas que se plantean, se frena el razonamiento matemático induciendo a seguir unos patrones”, MF11) ni la flexibilidad de estrategias para resolver los problemas (MF15). </w:t>
      </w:r>
    </w:p>
    <w:p w14:paraId="4F03833D" w14:textId="08EC7968"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d)</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No se consigue motivar al alumnado (“se da todo “hecho”, no motiva que los alumnos aprendan por descubrimiento”, MF24).</w:t>
      </w:r>
    </w:p>
    <w:p w14:paraId="54CE8F14" w14:textId="77777777"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i/>
          <w:iCs/>
          <w:sz w:val="22"/>
          <w:szCs w:val="22"/>
        </w:rPr>
        <w:t>Conflictos instruccionales</w:t>
      </w:r>
      <w:r w:rsidRPr="001A32C4">
        <w:rPr>
          <w:rFonts w:ascii="Times New Roman" w:eastAsia="Times New Roman" w:hAnsi="Times New Roman" w:cs="Times New Roman"/>
          <w:sz w:val="22"/>
          <w:szCs w:val="22"/>
        </w:rPr>
        <w:t xml:space="preserve"> (13 observaciones)</w:t>
      </w:r>
    </w:p>
    <w:p w14:paraId="1353DCE4" w14:textId="06CB694A"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a)</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Exposición mecanizada que no involucra al alumno (MF3) y limita su autonomía (“un único modo de explicar los contenidos impide el logro de aprendizaje de los alumnos”, MF48).</w:t>
      </w:r>
    </w:p>
    <w:p w14:paraId="134DDC84" w14:textId="526E7FAE"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b)</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La presentación del tema no es adecuada: algunos conceptos fundamentales no están explicados, o la explicación insuficiente podría generar dificultades en los estudiantes (“para obtener el cuarto término en la regla de tres, tener dificultades para comprender las magnitudes proporcionales, entender y utilizar la escala de un mapa”, MF27; “con los términos IVA, descuento”, MF30).</w:t>
      </w:r>
    </w:p>
    <w:p w14:paraId="2D116495" w14:textId="50552CD2"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c)</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Algunos enunciados de los problemas o sus condiciones son confusos.</w:t>
      </w:r>
    </w:p>
    <w:p w14:paraId="0F4C7D8D" w14:textId="575F91E6"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d)</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No se incluyen actividades manipulativas.</w:t>
      </w:r>
    </w:p>
    <w:p w14:paraId="04794066" w14:textId="5B8D1627"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e)</w:t>
      </w:r>
      <w:r>
        <w:rPr>
          <w:rFonts w:ascii="Times New Roman" w:eastAsia="Times New Roman" w:hAnsi="Times New Roman" w:cs="Times New Roman"/>
          <w:sz w:val="22"/>
          <w:szCs w:val="22"/>
        </w:rPr>
        <w:t xml:space="preserve"> </w:t>
      </w:r>
      <w:r w:rsidRPr="001A32C4">
        <w:rPr>
          <w:rFonts w:ascii="Times New Roman" w:eastAsia="Times New Roman" w:hAnsi="Times New Roman" w:cs="Times New Roman"/>
          <w:sz w:val="22"/>
          <w:szCs w:val="22"/>
        </w:rPr>
        <w:t>La secuenciación de contenidos no es adecuada (“debería explicar porcentajes después de magnitudes proporcionales”, MF23).</w:t>
      </w:r>
    </w:p>
    <w:p w14:paraId="3AA8490B" w14:textId="77777777" w:rsidR="001A32C4" w:rsidRPr="001A32C4" w:rsidRDefault="001A32C4" w:rsidP="001A32C4">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A pesar de que fueron pocos los MF que lograron explicitar estas limitaciones, salvo aquellas que consideran excesiva la complejidad de las tareas, son adecuadas.</w:t>
      </w:r>
    </w:p>
    <w:p w14:paraId="6507097B" w14:textId="09C0D03A" w:rsidR="001A32C4" w:rsidRPr="00CD3E5A" w:rsidRDefault="001A32C4" w:rsidP="00CD3E5A">
      <w:pPr>
        <w:spacing w:line="360" w:lineRule="auto"/>
        <w:ind w:firstLine="709"/>
        <w:jc w:val="both"/>
        <w:rPr>
          <w:rFonts w:ascii="Times New Roman" w:eastAsia="Times New Roman" w:hAnsi="Times New Roman" w:cs="Times New Roman"/>
          <w:b/>
          <w:bCs/>
          <w:sz w:val="22"/>
          <w:szCs w:val="22"/>
        </w:rPr>
      </w:pPr>
      <w:r w:rsidRPr="00CD3E5A">
        <w:rPr>
          <w:rFonts w:ascii="Times New Roman" w:eastAsia="Times New Roman" w:hAnsi="Times New Roman" w:cs="Times New Roman"/>
          <w:b/>
          <w:bCs/>
          <w:sz w:val="22"/>
          <w:szCs w:val="22"/>
        </w:rPr>
        <w:t>Identificación de conflictos tras el análisis didáctico de la lección</w:t>
      </w:r>
    </w:p>
    <w:p w14:paraId="557111AA" w14:textId="61ECD23B" w:rsidR="00072D1A" w:rsidRDefault="001A32C4" w:rsidP="00072D1A">
      <w:pPr>
        <w:spacing w:after="120"/>
        <w:ind w:firstLine="709"/>
        <w:jc w:val="both"/>
        <w:rPr>
          <w:rFonts w:ascii="Times New Roman" w:eastAsia="Times New Roman" w:hAnsi="Times New Roman" w:cs="Times New Roman"/>
          <w:sz w:val="22"/>
          <w:szCs w:val="22"/>
        </w:rPr>
      </w:pPr>
      <w:r w:rsidRPr="001A32C4">
        <w:rPr>
          <w:rFonts w:ascii="Times New Roman" w:eastAsia="Times New Roman" w:hAnsi="Times New Roman" w:cs="Times New Roman"/>
          <w:sz w:val="22"/>
          <w:szCs w:val="22"/>
        </w:rPr>
        <w:t xml:space="preserve">En la tarea de evaluación final, todos los participantes indicaron varios conflictos que habían sido previamente categorizados por el equipo investigador. Se registraron un total de 324 observaciones en el aspecto epistémico-ecológico, 181 en el cognitivo-afectivo y 178 en el instruccional. </w:t>
      </w:r>
      <w:r w:rsidRPr="001A32C4">
        <w:rPr>
          <w:rFonts w:ascii="Times New Roman" w:eastAsia="Times New Roman" w:hAnsi="Times New Roman" w:cs="Times New Roman"/>
          <w:sz w:val="22"/>
          <w:szCs w:val="22"/>
        </w:rPr>
        <w:lastRenderedPageBreak/>
        <w:t>De los 48 participantes, 30 detallaron y justificaron los conflictos encontrados, mientras que 18 los indicaron como ausencia o parcialidad en el grado de cumplimiento del indicador asociado en la GALT-proporcionalidad.  Para cada una de las dimensiones, destacamos en las tablas 1, 2 y 3, respectivamente los conflictos significativos detectados más representativos (por al menos 10 de los 48 MF). A continuación, mostramos ejemplos prototípicos de su identificación por parte de los participantes.</w:t>
      </w:r>
    </w:p>
    <w:p w14:paraId="6ACA385B" w14:textId="77777777" w:rsidR="00072D1A" w:rsidRPr="00DF1548" w:rsidRDefault="005A5DA8" w:rsidP="00072D1A">
      <w:pPr>
        <w:keepNext/>
        <w:spacing w:after="120"/>
        <w:rPr>
          <w:rFonts w:ascii="Times New Roman" w:eastAsia="Times New Roman" w:hAnsi="Times New Roman" w:cs="Times New Roman"/>
          <w:b/>
          <w:bCs/>
          <w:sz w:val="22"/>
          <w:szCs w:val="22"/>
        </w:rPr>
      </w:pPr>
      <w:r w:rsidRPr="00DF1548">
        <w:rPr>
          <w:rFonts w:ascii="Times New Roman" w:eastAsia="Times New Roman" w:hAnsi="Times New Roman" w:cs="Times New Roman"/>
          <w:b/>
          <w:bCs/>
          <w:sz w:val="22"/>
          <w:szCs w:val="22"/>
        </w:rPr>
        <w:t>Tabla 1</w:t>
      </w:r>
    </w:p>
    <w:p w14:paraId="28D816AA" w14:textId="1ECE48C4" w:rsidR="005A5DA8" w:rsidRPr="00DF1548" w:rsidRDefault="005A5DA8" w:rsidP="00072D1A">
      <w:pPr>
        <w:spacing w:after="120"/>
        <w:rPr>
          <w:rFonts w:ascii="Times New Roman" w:eastAsia="Times New Roman" w:hAnsi="Times New Roman" w:cs="Times New Roman"/>
          <w:i/>
          <w:iCs/>
          <w:sz w:val="22"/>
          <w:szCs w:val="22"/>
        </w:rPr>
      </w:pPr>
      <w:r w:rsidRPr="00DF1548">
        <w:rPr>
          <w:rFonts w:ascii="Times New Roman" w:eastAsia="Times New Roman" w:hAnsi="Times New Roman" w:cs="Times New Roman"/>
          <w:i/>
          <w:iCs/>
          <w:sz w:val="22"/>
          <w:szCs w:val="22"/>
        </w:rPr>
        <w:t>Conflictos epistémico-ecológicos identificados por los MF y frecuencia (</w:t>
      </w:r>
      <w:proofErr w:type="spellStart"/>
      <w:r w:rsidRPr="00DF1548">
        <w:rPr>
          <w:rFonts w:ascii="Times New Roman" w:eastAsia="Times New Roman" w:hAnsi="Times New Roman" w:cs="Times New Roman"/>
          <w:i/>
          <w:iCs/>
          <w:sz w:val="22"/>
          <w:szCs w:val="22"/>
        </w:rPr>
        <w:t>Frec</w:t>
      </w:r>
      <w:proofErr w:type="spellEnd"/>
      <w:r w:rsidRPr="00DF1548">
        <w:rPr>
          <w:rFonts w:ascii="Times New Roman" w:eastAsia="Times New Roman" w:hAnsi="Times New Roman" w:cs="Times New Roman"/>
          <w:i/>
          <w:iCs/>
          <w:sz w:val="22"/>
          <w:szCs w:val="22"/>
        </w:rPr>
        <w:t>.)</w:t>
      </w:r>
    </w:p>
    <w:tbl>
      <w:tblPr>
        <w:tblStyle w:val="Tablaconcuadrcula"/>
        <w:tblW w:w="6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4253"/>
        <w:gridCol w:w="709"/>
      </w:tblGrid>
      <w:tr w:rsidR="005A5DA8" w:rsidRPr="005A5DA8" w14:paraId="7BA3ED5B" w14:textId="77777777" w:rsidTr="005A5DA8">
        <w:trPr>
          <w:trHeight w:val="41"/>
        </w:trPr>
        <w:tc>
          <w:tcPr>
            <w:tcW w:w="1701" w:type="dxa"/>
            <w:tcBorders>
              <w:top w:val="single" w:sz="12" w:space="0" w:color="auto"/>
              <w:bottom w:val="double" w:sz="4" w:space="0" w:color="auto"/>
            </w:tcBorders>
          </w:tcPr>
          <w:p w14:paraId="04EA4084" w14:textId="77777777" w:rsidR="005A5DA8" w:rsidRPr="005A5DA8" w:rsidRDefault="005A5DA8" w:rsidP="00AF58D1">
            <w:pPr>
              <w:rPr>
                <w:rFonts w:ascii="Times New Roman" w:hAnsi="Times New Roman" w:cs="Times New Roman"/>
                <w:sz w:val="22"/>
                <w:szCs w:val="22"/>
              </w:rPr>
            </w:pPr>
            <w:r w:rsidRPr="005A5DA8">
              <w:rPr>
                <w:rFonts w:ascii="Times New Roman" w:hAnsi="Times New Roman" w:cs="Times New Roman"/>
                <w:sz w:val="22"/>
                <w:szCs w:val="22"/>
              </w:rPr>
              <w:t>Componente</w:t>
            </w:r>
          </w:p>
        </w:tc>
        <w:tc>
          <w:tcPr>
            <w:tcW w:w="4253" w:type="dxa"/>
            <w:tcBorders>
              <w:top w:val="single" w:sz="12" w:space="0" w:color="auto"/>
              <w:bottom w:val="double" w:sz="4" w:space="0" w:color="auto"/>
            </w:tcBorders>
          </w:tcPr>
          <w:p w14:paraId="29B9C9BE" w14:textId="77777777" w:rsidR="005A5DA8" w:rsidRPr="005A5DA8" w:rsidRDefault="005A5DA8" w:rsidP="00AF58D1">
            <w:pPr>
              <w:jc w:val="center"/>
              <w:rPr>
                <w:rFonts w:ascii="Times New Roman" w:hAnsi="Times New Roman" w:cs="Times New Roman"/>
                <w:sz w:val="22"/>
                <w:szCs w:val="22"/>
              </w:rPr>
            </w:pPr>
            <w:r w:rsidRPr="005A5DA8">
              <w:rPr>
                <w:rFonts w:ascii="Times New Roman" w:hAnsi="Times New Roman" w:cs="Times New Roman"/>
                <w:sz w:val="22"/>
                <w:szCs w:val="22"/>
              </w:rPr>
              <w:t>Descriptor del conflicto</w:t>
            </w:r>
          </w:p>
        </w:tc>
        <w:tc>
          <w:tcPr>
            <w:tcW w:w="709" w:type="dxa"/>
            <w:tcBorders>
              <w:top w:val="single" w:sz="12" w:space="0" w:color="auto"/>
              <w:bottom w:val="double" w:sz="4" w:space="0" w:color="auto"/>
            </w:tcBorders>
          </w:tcPr>
          <w:p w14:paraId="577D43EE" w14:textId="77777777" w:rsidR="005A5DA8" w:rsidRPr="005A5DA8" w:rsidRDefault="005A5DA8" w:rsidP="00AF58D1">
            <w:pPr>
              <w:jc w:val="center"/>
              <w:rPr>
                <w:rFonts w:ascii="Times New Roman" w:hAnsi="Times New Roman" w:cs="Times New Roman"/>
                <w:sz w:val="22"/>
                <w:szCs w:val="22"/>
              </w:rPr>
            </w:pPr>
            <w:proofErr w:type="spellStart"/>
            <w:r w:rsidRPr="005A5DA8">
              <w:rPr>
                <w:rFonts w:ascii="Times New Roman" w:hAnsi="Times New Roman" w:cs="Times New Roman"/>
                <w:sz w:val="22"/>
                <w:szCs w:val="22"/>
              </w:rPr>
              <w:t>Frec</w:t>
            </w:r>
            <w:proofErr w:type="spellEnd"/>
          </w:p>
        </w:tc>
      </w:tr>
      <w:tr w:rsidR="005A5DA8" w:rsidRPr="005A5DA8" w14:paraId="72277D61" w14:textId="77777777" w:rsidTr="005A5DA8">
        <w:tc>
          <w:tcPr>
            <w:tcW w:w="1701" w:type="dxa"/>
            <w:vMerge w:val="restart"/>
            <w:tcBorders>
              <w:top w:val="double" w:sz="4" w:space="0" w:color="auto"/>
            </w:tcBorders>
          </w:tcPr>
          <w:p w14:paraId="5AD5AB7A"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Problemas</w:t>
            </w:r>
          </w:p>
        </w:tc>
        <w:tc>
          <w:tcPr>
            <w:tcW w:w="4253" w:type="dxa"/>
            <w:tcBorders>
              <w:top w:val="double" w:sz="4" w:space="0" w:color="auto"/>
            </w:tcBorders>
          </w:tcPr>
          <w:p w14:paraId="5220450E"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No se promueve que el alumno formule problemas sobre proporcionalidad y porcentajes</w:t>
            </w:r>
          </w:p>
        </w:tc>
        <w:tc>
          <w:tcPr>
            <w:tcW w:w="709" w:type="dxa"/>
            <w:tcBorders>
              <w:top w:val="double" w:sz="4" w:space="0" w:color="auto"/>
            </w:tcBorders>
          </w:tcPr>
          <w:p w14:paraId="3B060CD8"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30</w:t>
            </w:r>
          </w:p>
        </w:tc>
      </w:tr>
      <w:tr w:rsidR="005A5DA8" w:rsidRPr="005A5DA8" w14:paraId="5CC3512C" w14:textId="77777777" w:rsidTr="005A5DA8">
        <w:tc>
          <w:tcPr>
            <w:tcW w:w="1701" w:type="dxa"/>
            <w:vMerge/>
            <w:tcBorders>
              <w:bottom w:val="single" w:sz="4" w:space="0" w:color="auto"/>
            </w:tcBorders>
          </w:tcPr>
          <w:p w14:paraId="7001D3F1" w14:textId="77777777" w:rsidR="005A5DA8" w:rsidRPr="005A5DA8" w:rsidRDefault="005A5DA8" w:rsidP="005A5DA8">
            <w:pPr>
              <w:jc w:val="both"/>
              <w:rPr>
                <w:rFonts w:ascii="Times New Roman" w:hAnsi="Times New Roman" w:cs="Times New Roman"/>
                <w:sz w:val="22"/>
                <w:szCs w:val="22"/>
              </w:rPr>
            </w:pPr>
          </w:p>
        </w:tc>
        <w:tc>
          <w:tcPr>
            <w:tcW w:w="4253" w:type="dxa"/>
            <w:tcBorders>
              <w:bottom w:val="single" w:sz="4" w:space="0" w:color="auto"/>
            </w:tcBorders>
          </w:tcPr>
          <w:p w14:paraId="112CBF5D"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No se presentan situaciones que permitan distinguir comparaciones multiplicativas de aditivas, ni otras en las que ambas relaciones se trabajen de manera simultánea</w:t>
            </w:r>
          </w:p>
          <w:p w14:paraId="7CB5FB2B"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No se proponen situaciones de cálculo mental que involucren el razonamiento proporcional</w:t>
            </w:r>
          </w:p>
        </w:tc>
        <w:tc>
          <w:tcPr>
            <w:tcW w:w="709" w:type="dxa"/>
            <w:tcBorders>
              <w:bottom w:val="single" w:sz="4" w:space="0" w:color="auto"/>
            </w:tcBorders>
          </w:tcPr>
          <w:p w14:paraId="6C719D26"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12</w:t>
            </w:r>
          </w:p>
          <w:p w14:paraId="5DA6B6CF" w14:textId="77777777" w:rsidR="005A5DA8" w:rsidRPr="005A5DA8" w:rsidRDefault="005A5DA8" w:rsidP="005A5DA8">
            <w:pPr>
              <w:jc w:val="center"/>
              <w:rPr>
                <w:rFonts w:ascii="Times New Roman" w:hAnsi="Times New Roman" w:cs="Times New Roman"/>
                <w:sz w:val="22"/>
                <w:szCs w:val="22"/>
              </w:rPr>
            </w:pPr>
          </w:p>
          <w:p w14:paraId="5FC014B7" w14:textId="77777777" w:rsidR="005A5DA8" w:rsidRPr="005A5DA8" w:rsidRDefault="005A5DA8" w:rsidP="005A5DA8">
            <w:pPr>
              <w:jc w:val="center"/>
              <w:rPr>
                <w:rFonts w:ascii="Times New Roman" w:hAnsi="Times New Roman" w:cs="Times New Roman"/>
                <w:sz w:val="22"/>
                <w:szCs w:val="22"/>
              </w:rPr>
            </w:pPr>
          </w:p>
          <w:p w14:paraId="66E79170"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17</w:t>
            </w:r>
          </w:p>
        </w:tc>
      </w:tr>
      <w:tr w:rsidR="005A5DA8" w:rsidRPr="005A5DA8" w14:paraId="5EFA0F07" w14:textId="77777777" w:rsidTr="005A5DA8">
        <w:tc>
          <w:tcPr>
            <w:tcW w:w="1701" w:type="dxa"/>
            <w:tcBorders>
              <w:bottom w:val="single" w:sz="4" w:space="0" w:color="auto"/>
            </w:tcBorders>
          </w:tcPr>
          <w:p w14:paraId="4C0DFCDF"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Lenguajes</w:t>
            </w:r>
          </w:p>
        </w:tc>
        <w:tc>
          <w:tcPr>
            <w:tcW w:w="4253" w:type="dxa"/>
            <w:tcBorders>
              <w:bottom w:val="single" w:sz="4" w:space="0" w:color="auto"/>
            </w:tcBorders>
          </w:tcPr>
          <w:p w14:paraId="4FAAC277"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No se emplean diferentes tipos de representación de la relación de proporcionalidad ni se fomenta que los alumnos interpreten o traduzcan entre ellos.</w:t>
            </w:r>
          </w:p>
        </w:tc>
        <w:tc>
          <w:tcPr>
            <w:tcW w:w="709" w:type="dxa"/>
            <w:tcBorders>
              <w:bottom w:val="single" w:sz="4" w:space="0" w:color="auto"/>
            </w:tcBorders>
          </w:tcPr>
          <w:p w14:paraId="64F325B2"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18</w:t>
            </w:r>
          </w:p>
        </w:tc>
      </w:tr>
      <w:tr w:rsidR="005A5DA8" w:rsidRPr="005A5DA8" w14:paraId="26E46FE1" w14:textId="77777777" w:rsidTr="005A5DA8">
        <w:tc>
          <w:tcPr>
            <w:tcW w:w="1701" w:type="dxa"/>
            <w:vMerge w:val="restart"/>
            <w:tcBorders>
              <w:top w:val="single" w:sz="4" w:space="0" w:color="auto"/>
            </w:tcBorders>
          </w:tcPr>
          <w:p w14:paraId="3A1F78ED"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Conceptos</w:t>
            </w:r>
          </w:p>
        </w:tc>
        <w:tc>
          <w:tcPr>
            <w:tcW w:w="4253" w:type="dxa"/>
            <w:tcBorders>
              <w:top w:val="single" w:sz="4" w:space="0" w:color="auto"/>
            </w:tcBorders>
          </w:tcPr>
          <w:p w14:paraId="646EFFD3"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 xml:space="preserve">No se presentan de manera clara los conceptos fundamentales (constante de proporcionalidad, covarianza de cantidades, invarianza de la razón) </w:t>
            </w:r>
          </w:p>
        </w:tc>
        <w:tc>
          <w:tcPr>
            <w:tcW w:w="709" w:type="dxa"/>
            <w:tcBorders>
              <w:top w:val="single" w:sz="4" w:space="0" w:color="auto"/>
            </w:tcBorders>
          </w:tcPr>
          <w:p w14:paraId="115938CB"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28</w:t>
            </w:r>
          </w:p>
        </w:tc>
      </w:tr>
      <w:tr w:rsidR="005A5DA8" w:rsidRPr="005A5DA8" w14:paraId="1EDF2113" w14:textId="77777777" w:rsidTr="005A5DA8">
        <w:tc>
          <w:tcPr>
            <w:tcW w:w="1701" w:type="dxa"/>
            <w:vMerge/>
          </w:tcPr>
          <w:p w14:paraId="24A4E40E" w14:textId="77777777" w:rsidR="005A5DA8" w:rsidRPr="005A5DA8" w:rsidRDefault="005A5DA8" w:rsidP="005A5DA8">
            <w:pPr>
              <w:jc w:val="both"/>
              <w:rPr>
                <w:rFonts w:ascii="Times New Roman" w:hAnsi="Times New Roman" w:cs="Times New Roman"/>
                <w:sz w:val="22"/>
                <w:szCs w:val="22"/>
              </w:rPr>
            </w:pPr>
          </w:p>
        </w:tc>
        <w:tc>
          <w:tcPr>
            <w:tcW w:w="4253" w:type="dxa"/>
          </w:tcPr>
          <w:p w14:paraId="64CDB457"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No se define con claridad la naturaleza multiplicativa de las comparaciones entre magnitudes proporcionales</w:t>
            </w:r>
          </w:p>
        </w:tc>
        <w:tc>
          <w:tcPr>
            <w:tcW w:w="709" w:type="dxa"/>
          </w:tcPr>
          <w:p w14:paraId="428C63D8"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18</w:t>
            </w:r>
          </w:p>
        </w:tc>
      </w:tr>
      <w:tr w:rsidR="005A5DA8" w:rsidRPr="005A5DA8" w14:paraId="2E95BEF5" w14:textId="77777777" w:rsidTr="005A5DA8">
        <w:tc>
          <w:tcPr>
            <w:tcW w:w="1701" w:type="dxa"/>
            <w:vMerge/>
            <w:tcBorders>
              <w:bottom w:val="single" w:sz="4" w:space="0" w:color="auto"/>
            </w:tcBorders>
          </w:tcPr>
          <w:p w14:paraId="710493F1" w14:textId="77777777" w:rsidR="005A5DA8" w:rsidRPr="005A5DA8" w:rsidRDefault="005A5DA8" w:rsidP="005A5DA8">
            <w:pPr>
              <w:jc w:val="both"/>
              <w:rPr>
                <w:rFonts w:ascii="Times New Roman" w:hAnsi="Times New Roman" w:cs="Times New Roman"/>
                <w:sz w:val="22"/>
                <w:szCs w:val="22"/>
              </w:rPr>
            </w:pPr>
          </w:p>
        </w:tc>
        <w:tc>
          <w:tcPr>
            <w:tcW w:w="4253" w:type="dxa"/>
            <w:tcBorders>
              <w:bottom w:val="single" w:sz="4" w:space="0" w:color="auto"/>
            </w:tcBorders>
          </w:tcPr>
          <w:p w14:paraId="57AC6DAD"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No se define con claridad la naturaleza proporcional del porcentaje</w:t>
            </w:r>
          </w:p>
        </w:tc>
        <w:tc>
          <w:tcPr>
            <w:tcW w:w="709" w:type="dxa"/>
            <w:tcBorders>
              <w:bottom w:val="single" w:sz="4" w:space="0" w:color="auto"/>
            </w:tcBorders>
          </w:tcPr>
          <w:p w14:paraId="0CF859B2"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18</w:t>
            </w:r>
          </w:p>
        </w:tc>
      </w:tr>
      <w:tr w:rsidR="005A5DA8" w:rsidRPr="005A5DA8" w14:paraId="5F3CE26D" w14:textId="77777777" w:rsidTr="005A5DA8">
        <w:tc>
          <w:tcPr>
            <w:tcW w:w="1701" w:type="dxa"/>
            <w:vMerge w:val="restart"/>
            <w:tcBorders>
              <w:top w:val="single" w:sz="4" w:space="0" w:color="auto"/>
            </w:tcBorders>
          </w:tcPr>
          <w:p w14:paraId="41CB86CF"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Proposiciones</w:t>
            </w:r>
          </w:p>
        </w:tc>
        <w:tc>
          <w:tcPr>
            <w:tcW w:w="4253" w:type="dxa"/>
            <w:tcBorders>
              <w:top w:val="single" w:sz="4" w:space="0" w:color="auto"/>
            </w:tcBorders>
          </w:tcPr>
          <w:p w14:paraId="37FF89D1"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Las proposiciones fundamentales del tema no aparecen de forma clara ni correcta</w:t>
            </w:r>
          </w:p>
        </w:tc>
        <w:tc>
          <w:tcPr>
            <w:tcW w:w="709" w:type="dxa"/>
            <w:tcBorders>
              <w:top w:val="single" w:sz="4" w:space="0" w:color="auto"/>
            </w:tcBorders>
          </w:tcPr>
          <w:p w14:paraId="6156EFDD"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12</w:t>
            </w:r>
          </w:p>
        </w:tc>
      </w:tr>
      <w:tr w:rsidR="005A5DA8" w:rsidRPr="005A5DA8" w14:paraId="5815A794" w14:textId="77777777" w:rsidTr="005A5DA8">
        <w:tc>
          <w:tcPr>
            <w:tcW w:w="1701" w:type="dxa"/>
            <w:vMerge/>
            <w:tcBorders>
              <w:bottom w:val="single" w:sz="4" w:space="0" w:color="auto"/>
            </w:tcBorders>
          </w:tcPr>
          <w:p w14:paraId="3DC75414" w14:textId="77777777" w:rsidR="005A5DA8" w:rsidRPr="005A5DA8" w:rsidRDefault="005A5DA8" w:rsidP="005A5DA8">
            <w:pPr>
              <w:jc w:val="both"/>
              <w:rPr>
                <w:rFonts w:ascii="Times New Roman" w:hAnsi="Times New Roman" w:cs="Times New Roman"/>
                <w:sz w:val="22"/>
                <w:szCs w:val="22"/>
              </w:rPr>
            </w:pPr>
          </w:p>
        </w:tc>
        <w:tc>
          <w:tcPr>
            <w:tcW w:w="4253" w:type="dxa"/>
            <w:tcBorders>
              <w:bottom w:val="single" w:sz="4" w:space="0" w:color="auto"/>
            </w:tcBorders>
          </w:tcPr>
          <w:p w14:paraId="22F14CFF"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 xml:space="preserve">No aparecen las proposiciones suficientes y necesarias para distinguir cuando la relación </w:t>
            </w:r>
            <w:r w:rsidRPr="005A5DA8">
              <w:rPr>
                <w:rFonts w:ascii="Times New Roman" w:hAnsi="Times New Roman" w:cs="Times New Roman"/>
                <w:sz w:val="22"/>
                <w:szCs w:val="22"/>
              </w:rPr>
              <w:lastRenderedPageBreak/>
              <w:t>entre dos magnitudes es de proporcionalidad directa</w:t>
            </w:r>
          </w:p>
        </w:tc>
        <w:tc>
          <w:tcPr>
            <w:tcW w:w="709" w:type="dxa"/>
            <w:tcBorders>
              <w:bottom w:val="single" w:sz="4" w:space="0" w:color="auto"/>
            </w:tcBorders>
          </w:tcPr>
          <w:p w14:paraId="1E23A24A"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lastRenderedPageBreak/>
              <w:t>12</w:t>
            </w:r>
          </w:p>
        </w:tc>
      </w:tr>
      <w:tr w:rsidR="005A5DA8" w:rsidRPr="005A5DA8" w14:paraId="35A4AEC0" w14:textId="77777777" w:rsidTr="005A5DA8">
        <w:tc>
          <w:tcPr>
            <w:tcW w:w="1701" w:type="dxa"/>
            <w:tcBorders>
              <w:bottom w:val="single" w:sz="4" w:space="0" w:color="auto"/>
            </w:tcBorders>
          </w:tcPr>
          <w:p w14:paraId="51CAC988"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Procedimientos</w:t>
            </w:r>
          </w:p>
        </w:tc>
        <w:tc>
          <w:tcPr>
            <w:tcW w:w="4253" w:type="dxa"/>
            <w:tcBorders>
              <w:bottom w:val="single" w:sz="4" w:space="0" w:color="auto"/>
            </w:tcBorders>
          </w:tcPr>
          <w:p w14:paraId="6BA24E68"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Los problemas permiten a los alumnos decidir que procedimientos propios de la proporcionalidad son más adecuados</w:t>
            </w:r>
          </w:p>
        </w:tc>
        <w:tc>
          <w:tcPr>
            <w:tcW w:w="709" w:type="dxa"/>
            <w:tcBorders>
              <w:bottom w:val="single" w:sz="4" w:space="0" w:color="auto"/>
            </w:tcBorders>
          </w:tcPr>
          <w:p w14:paraId="4CA6CA1E"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15</w:t>
            </w:r>
          </w:p>
        </w:tc>
      </w:tr>
      <w:tr w:rsidR="005A5DA8" w:rsidRPr="005A5DA8" w14:paraId="7C8C32F5" w14:textId="77777777" w:rsidTr="005A5DA8">
        <w:tc>
          <w:tcPr>
            <w:tcW w:w="1701" w:type="dxa"/>
            <w:tcBorders>
              <w:top w:val="single" w:sz="4" w:space="0" w:color="auto"/>
              <w:bottom w:val="single" w:sz="4" w:space="0" w:color="auto"/>
            </w:tcBorders>
          </w:tcPr>
          <w:p w14:paraId="09D0CB07"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Argumentos</w:t>
            </w:r>
          </w:p>
        </w:tc>
        <w:tc>
          <w:tcPr>
            <w:tcW w:w="4253" w:type="dxa"/>
            <w:tcBorders>
              <w:top w:val="single" w:sz="4" w:space="0" w:color="auto"/>
              <w:bottom w:val="single" w:sz="4" w:space="0" w:color="auto"/>
            </w:tcBorders>
          </w:tcPr>
          <w:p w14:paraId="2A0985C4"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Las proposiciones y los procedimientos no aparecen justificados o el argumento es siempre del mismo tipo</w:t>
            </w:r>
          </w:p>
        </w:tc>
        <w:tc>
          <w:tcPr>
            <w:tcW w:w="709" w:type="dxa"/>
            <w:tcBorders>
              <w:top w:val="single" w:sz="4" w:space="0" w:color="auto"/>
              <w:bottom w:val="single" w:sz="4" w:space="0" w:color="auto"/>
            </w:tcBorders>
          </w:tcPr>
          <w:p w14:paraId="4A5D68D9"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22</w:t>
            </w:r>
          </w:p>
        </w:tc>
      </w:tr>
      <w:tr w:rsidR="005A5DA8" w:rsidRPr="005A5DA8" w14:paraId="1965E192" w14:textId="77777777" w:rsidTr="005A5DA8">
        <w:tc>
          <w:tcPr>
            <w:tcW w:w="1701" w:type="dxa"/>
            <w:tcBorders>
              <w:top w:val="single" w:sz="4" w:space="0" w:color="auto"/>
              <w:bottom w:val="single" w:sz="4" w:space="0" w:color="auto"/>
            </w:tcBorders>
          </w:tcPr>
          <w:p w14:paraId="298BD0F3"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Proceso de argumentación</w:t>
            </w:r>
          </w:p>
        </w:tc>
        <w:tc>
          <w:tcPr>
            <w:tcW w:w="4253" w:type="dxa"/>
            <w:tcBorders>
              <w:top w:val="single" w:sz="4" w:space="0" w:color="auto"/>
              <w:bottom w:val="single" w:sz="4" w:space="0" w:color="auto"/>
            </w:tcBorders>
          </w:tcPr>
          <w:p w14:paraId="73DBBC23"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No se proponen situaciones para que el alumno investigue, formule conjeturas y argumente sobre relaciones de proporcionalidad</w:t>
            </w:r>
          </w:p>
        </w:tc>
        <w:tc>
          <w:tcPr>
            <w:tcW w:w="709" w:type="dxa"/>
            <w:tcBorders>
              <w:top w:val="single" w:sz="4" w:space="0" w:color="auto"/>
              <w:bottom w:val="single" w:sz="4" w:space="0" w:color="auto"/>
            </w:tcBorders>
          </w:tcPr>
          <w:p w14:paraId="4FCD7DF4"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18</w:t>
            </w:r>
          </w:p>
        </w:tc>
      </w:tr>
      <w:tr w:rsidR="005A5DA8" w:rsidRPr="005A5DA8" w14:paraId="678D7C5B" w14:textId="77777777" w:rsidTr="005A5DA8">
        <w:tc>
          <w:tcPr>
            <w:tcW w:w="1701" w:type="dxa"/>
            <w:tcBorders>
              <w:top w:val="single" w:sz="4" w:space="0" w:color="auto"/>
              <w:bottom w:val="single" w:sz="4" w:space="0" w:color="auto"/>
            </w:tcBorders>
          </w:tcPr>
          <w:p w14:paraId="748B4F0A"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Modelización/</w:t>
            </w:r>
            <w:r w:rsidRPr="005A5DA8">
              <w:rPr>
                <w:rFonts w:ascii="Times New Roman" w:hAnsi="Times New Roman" w:cs="Times New Roman"/>
                <w:sz w:val="22"/>
                <w:szCs w:val="22"/>
              </w:rPr>
              <w:br/>
              <w:t>Generalización</w:t>
            </w:r>
          </w:p>
        </w:tc>
        <w:tc>
          <w:tcPr>
            <w:tcW w:w="4253" w:type="dxa"/>
            <w:tcBorders>
              <w:top w:val="single" w:sz="4" w:space="0" w:color="auto"/>
              <w:bottom w:val="single" w:sz="4" w:space="0" w:color="auto"/>
            </w:tcBorders>
          </w:tcPr>
          <w:p w14:paraId="1F642AE5"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No se plantean situaciones que permitan al alumno utilizar el modelo matemático de la función lineal para comprender relaciones entre magnitudes o generalizarlas</w:t>
            </w:r>
          </w:p>
        </w:tc>
        <w:tc>
          <w:tcPr>
            <w:tcW w:w="709" w:type="dxa"/>
            <w:tcBorders>
              <w:top w:val="single" w:sz="4" w:space="0" w:color="auto"/>
              <w:bottom w:val="single" w:sz="4" w:space="0" w:color="auto"/>
            </w:tcBorders>
          </w:tcPr>
          <w:p w14:paraId="60CE5B32"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23</w:t>
            </w:r>
          </w:p>
        </w:tc>
      </w:tr>
      <w:tr w:rsidR="005A5DA8" w:rsidRPr="005A5DA8" w14:paraId="68E691AD" w14:textId="77777777" w:rsidTr="005A5DA8">
        <w:tc>
          <w:tcPr>
            <w:tcW w:w="1701" w:type="dxa"/>
            <w:tcBorders>
              <w:top w:val="single" w:sz="4" w:space="0" w:color="auto"/>
              <w:bottom w:val="single" w:sz="12" w:space="0" w:color="auto"/>
            </w:tcBorders>
          </w:tcPr>
          <w:p w14:paraId="39E89E2E"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 xml:space="preserve">Conexión intra e </w:t>
            </w:r>
            <w:proofErr w:type="spellStart"/>
            <w:r w:rsidRPr="005A5DA8">
              <w:rPr>
                <w:rFonts w:ascii="Times New Roman" w:hAnsi="Times New Roman" w:cs="Times New Roman"/>
                <w:sz w:val="22"/>
                <w:szCs w:val="22"/>
              </w:rPr>
              <w:t>interdisplinar</w:t>
            </w:r>
            <w:proofErr w:type="spellEnd"/>
          </w:p>
        </w:tc>
        <w:tc>
          <w:tcPr>
            <w:tcW w:w="4253" w:type="dxa"/>
            <w:tcBorders>
              <w:top w:val="single" w:sz="4" w:space="0" w:color="auto"/>
              <w:bottom w:val="single" w:sz="12" w:space="0" w:color="auto"/>
            </w:tcBorders>
          </w:tcPr>
          <w:p w14:paraId="2C090C80" w14:textId="77777777" w:rsidR="005A5DA8" w:rsidRPr="005A5DA8" w:rsidRDefault="005A5DA8" w:rsidP="005A5DA8">
            <w:pPr>
              <w:jc w:val="both"/>
              <w:rPr>
                <w:rFonts w:ascii="Times New Roman" w:hAnsi="Times New Roman" w:cs="Times New Roman"/>
                <w:sz w:val="22"/>
                <w:szCs w:val="22"/>
              </w:rPr>
            </w:pPr>
            <w:r w:rsidRPr="005A5DA8">
              <w:rPr>
                <w:rFonts w:ascii="Times New Roman" w:hAnsi="Times New Roman" w:cs="Times New Roman"/>
                <w:sz w:val="22"/>
                <w:szCs w:val="22"/>
              </w:rPr>
              <w:t>El tema no aparece relacionado con otros contenidos trasversales, historia de las matemáticas o de otras disciplinas</w:t>
            </w:r>
          </w:p>
        </w:tc>
        <w:tc>
          <w:tcPr>
            <w:tcW w:w="709" w:type="dxa"/>
            <w:tcBorders>
              <w:top w:val="single" w:sz="4" w:space="0" w:color="auto"/>
              <w:bottom w:val="single" w:sz="12" w:space="0" w:color="auto"/>
            </w:tcBorders>
          </w:tcPr>
          <w:p w14:paraId="72315068" w14:textId="77777777" w:rsidR="005A5DA8" w:rsidRPr="005A5DA8" w:rsidRDefault="005A5DA8" w:rsidP="005A5DA8">
            <w:pPr>
              <w:jc w:val="center"/>
              <w:rPr>
                <w:rFonts w:ascii="Times New Roman" w:hAnsi="Times New Roman" w:cs="Times New Roman"/>
                <w:sz w:val="22"/>
                <w:szCs w:val="22"/>
              </w:rPr>
            </w:pPr>
            <w:r w:rsidRPr="005A5DA8">
              <w:rPr>
                <w:rFonts w:ascii="Times New Roman" w:hAnsi="Times New Roman" w:cs="Times New Roman"/>
                <w:sz w:val="22"/>
                <w:szCs w:val="22"/>
              </w:rPr>
              <w:t>18</w:t>
            </w:r>
          </w:p>
        </w:tc>
      </w:tr>
    </w:tbl>
    <w:p w14:paraId="2D7C1C82" w14:textId="77777777" w:rsidR="001A32C4" w:rsidRPr="005A1717" w:rsidRDefault="001A32C4" w:rsidP="005A1717">
      <w:pPr>
        <w:spacing w:after="120"/>
        <w:ind w:firstLine="709"/>
        <w:jc w:val="both"/>
        <w:rPr>
          <w:sz w:val="22"/>
          <w:szCs w:val="22"/>
        </w:rPr>
      </w:pPr>
    </w:p>
    <w:p w14:paraId="397CF663" w14:textId="151FFA7B" w:rsidR="00B81C6C" w:rsidRDefault="00072D1A" w:rsidP="007B5E6C">
      <w:pPr>
        <w:spacing w:after="120"/>
        <w:ind w:firstLine="709"/>
        <w:jc w:val="both"/>
        <w:rPr>
          <w:rFonts w:ascii="Times New Roman" w:eastAsia="Times New Roman" w:hAnsi="Times New Roman" w:cs="Times New Roman"/>
          <w:sz w:val="22"/>
          <w:szCs w:val="22"/>
        </w:rPr>
      </w:pPr>
      <w:r w:rsidRPr="00072D1A">
        <w:rPr>
          <w:rFonts w:ascii="Times New Roman" w:eastAsia="Times New Roman" w:hAnsi="Times New Roman" w:cs="Times New Roman"/>
          <w:sz w:val="22"/>
          <w:szCs w:val="22"/>
        </w:rPr>
        <w:t xml:space="preserve">Los MF destacan fundamentalmente la falta de claridad en la definición del porcentaje (Figura 1) o de escala (“el autor no incluye una definición general de escala, sino que la particulariza al caso 1:50000”, MF24) y que ambas nociones no aparezcan conectadas con la relación de proporcionalidad de magnitudes, lo que impide justificar en base a ésta los procedimientos que involucran el cálculo o aplicación de escalas. </w:t>
      </w:r>
    </w:p>
    <w:p w14:paraId="44DF24A5" w14:textId="05A2C152" w:rsidR="00072D1A" w:rsidRPr="00072D1A" w:rsidRDefault="00072D1A" w:rsidP="00753BE7">
      <w:pPr>
        <w:spacing w:after="120"/>
        <w:ind w:firstLine="709"/>
        <w:jc w:val="both"/>
        <w:rPr>
          <w:rFonts w:ascii="Times New Roman" w:eastAsia="Times New Roman" w:hAnsi="Times New Roman" w:cs="Times New Roman"/>
          <w:sz w:val="22"/>
          <w:szCs w:val="22"/>
        </w:rPr>
      </w:pPr>
      <w:r w:rsidRPr="00072D1A">
        <w:rPr>
          <w:rFonts w:ascii="Times New Roman" w:eastAsia="Times New Roman" w:hAnsi="Times New Roman" w:cs="Times New Roman"/>
          <w:b/>
          <w:bCs/>
          <w:sz w:val="22"/>
          <w:szCs w:val="22"/>
        </w:rPr>
        <w:t>Figura 1</w:t>
      </w:r>
    </w:p>
    <w:p w14:paraId="3F8DA276" w14:textId="1B490C01" w:rsidR="00072D1A" w:rsidRPr="00072D1A" w:rsidRDefault="00072D1A" w:rsidP="00753BE7">
      <w:pPr>
        <w:spacing w:after="120"/>
        <w:ind w:firstLine="709"/>
        <w:jc w:val="both"/>
        <w:rPr>
          <w:i/>
          <w:iCs/>
          <w:sz w:val="22"/>
          <w:szCs w:val="22"/>
        </w:rPr>
      </w:pPr>
      <w:r w:rsidRPr="00072D1A">
        <w:rPr>
          <w:rFonts w:ascii="Times New Roman" w:eastAsia="Times New Roman" w:hAnsi="Times New Roman" w:cs="Times New Roman"/>
          <w:noProof/>
          <w:sz w:val="22"/>
          <w:szCs w:val="22"/>
        </w:rPr>
        <w:drawing>
          <wp:anchor distT="0" distB="0" distL="114300" distR="114300" simplePos="0" relativeHeight="251659264" behindDoc="0" locked="0" layoutInCell="1" allowOverlap="1" wp14:anchorId="1F4D5230" wp14:editId="1FE205E5">
            <wp:simplePos x="0" y="0"/>
            <wp:positionH relativeFrom="margin">
              <wp:align>left</wp:align>
            </wp:positionH>
            <wp:positionV relativeFrom="paragraph">
              <wp:posOffset>213719</wp:posOffset>
            </wp:positionV>
            <wp:extent cx="4611370" cy="448945"/>
            <wp:effectExtent l="0" t="0" r="0" b="8255"/>
            <wp:wrapTopAndBottom/>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611370"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2D1A">
        <w:rPr>
          <w:rFonts w:ascii="Times New Roman" w:eastAsia="Times New Roman" w:hAnsi="Times New Roman" w:cs="Times New Roman"/>
          <w:i/>
          <w:iCs/>
          <w:sz w:val="22"/>
          <w:szCs w:val="22"/>
        </w:rPr>
        <w:t>Definición de porcentaje (González et al., 2015, p. 112).</w:t>
      </w:r>
    </w:p>
    <w:p w14:paraId="3E0E2FE1" w14:textId="419D3175" w:rsidR="235DF6B6" w:rsidRDefault="235DF6B6" w:rsidP="00072D1A"/>
    <w:p w14:paraId="1F54C35E" w14:textId="74DEF28A" w:rsidR="00072D1A" w:rsidRPr="00072D1A" w:rsidRDefault="00072D1A" w:rsidP="00072D1A">
      <w:pPr>
        <w:spacing w:after="120"/>
        <w:ind w:firstLine="709"/>
        <w:jc w:val="both"/>
        <w:rPr>
          <w:rFonts w:ascii="Times New Roman" w:eastAsia="Times New Roman" w:hAnsi="Times New Roman" w:cs="Times New Roman"/>
          <w:sz w:val="22"/>
          <w:szCs w:val="22"/>
        </w:rPr>
      </w:pPr>
      <w:r w:rsidRPr="00072D1A">
        <w:rPr>
          <w:rFonts w:ascii="Times New Roman" w:eastAsia="Times New Roman" w:hAnsi="Times New Roman" w:cs="Times New Roman"/>
          <w:sz w:val="22"/>
          <w:szCs w:val="22"/>
        </w:rPr>
        <w:t>Por ejemplo, MF23 indica:</w:t>
      </w:r>
    </w:p>
    <w:p w14:paraId="39E2A071" w14:textId="2B95CE8F" w:rsidR="00072D1A" w:rsidRPr="00072D1A" w:rsidRDefault="00072D1A" w:rsidP="00753BE7">
      <w:pPr>
        <w:spacing w:after="120"/>
        <w:ind w:left="1418"/>
        <w:jc w:val="both"/>
        <w:rPr>
          <w:rFonts w:ascii="Times New Roman" w:eastAsia="Times New Roman" w:hAnsi="Times New Roman" w:cs="Times New Roman"/>
          <w:sz w:val="22"/>
          <w:szCs w:val="22"/>
          <w:lang w:val="la"/>
        </w:rPr>
      </w:pPr>
      <w:r w:rsidRPr="00072D1A">
        <w:rPr>
          <w:rFonts w:ascii="Times New Roman" w:eastAsia="Times New Roman" w:hAnsi="Times New Roman" w:cs="Times New Roman"/>
          <w:sz w:val="22"/>
          <w:szCs w:val="22"/>
          <w:lang w:val="la"/>
        </w:rPr>
        <w:t>Es confusa la definición de porcentaje. No queda claro si es sinónimo o no de fracción.</w:t>
      </w:r>
      <w:r w:rsidR="00753BE7">
        <w:rPr>
          <w:rFonts w:ascii="Times New Roman" w:eastAsia="Times New Roman" w:hAnsi="Times New Roman" w:cs="Times New Roman"/>
          <w:sz w:val="22"/>
          <w:szCs w:val="22"/>
          <w:lang w:val="es-CR"/>
        </w:rPr>
        <w:t xml:space="preserve"> </w:t>
      </w:r>
      <w:r w:rsidRPr="00072D1A">
        <w:rPr>
          <w:rFonts w:ascii="Times New Roman" w:eastAsia="Times New Roman" w:hAnsi="Times New Roman" w:cs="Times New Roman"/>
          <w:sz w:val="22"/>
          <w:szCs w:val="22"/>
          <w:lang w:val="la"/>
        </w:rPr>
        <w:t>No se aclara por qué las fracciones obtenidas son equivalentes.</w:t>
      </w:r>
      <w:r w:rsidR="00753BE7">
        <w:rPr>
          <w:rFonts w:ascii="Times New Roman" w:eastAsia="Times New Roman" w:hAnsi="Times New Roman" w:cs="Times New Roman"/>
          <w:sz w:val="22"/>
          <w:szCs w:val="22"/>
          <w:lang w:val="es-CR"/>
        </w:rPr>
        <w:t xml:space="preserve"> </w:t>
      </w:r>
      <w:r w:rsidRPr="00072D1A">
        <w:rPr>
          <w:rFonts w:ascii="Times New Roman" w:eastAsia="Times New Roman" w:hAnsi="Times New Roman" w:cs="Times New Roman"/>
          <w:sz w:val="22"/>
          <w:szCs w:val="22"/>
          <w:lang w:val="la"/>
        </w:rPr>
        <w:t>No se explicita la relación entre la razón “a de cada b” y la fracción a/b.</w:t>
      </w:r>
      <w:r w:rsidR="00753BE7">
        <w:rPr>
          <w:rFonts w:ascii="Times New Roman" w:eastAsia="Times New Roman" w:hAnsi="Times New Roman" w:cs="Times New Roman"/>
          <w:sz w:val="22"/>
          <w:szCs w:val="22"/>
          <w:lang w:val="es-CR"/>
        </w:rPr>
        <w:t xml:space="preserve"> </w:t>
      </w:r>
      <w:r w:rsidRPr="00072D1A">
        <w:rPr>
          <w:rFonts w:ascii="Times New Roman" w:eastAsia="Times New Roman" w:hAnsi="Times New Roman" w:cs="Times New Roman"/>
          <w:sz w:val="22"/>
          <w:szCs w:val="22"/>
          <w:lang w:val="la"/>
        </w:rPr>
        <w:t xml:space="preserve">No se explica que sólo </w:t>
      </w:r>
      <w:r w:rsidRPr="00072D1A">
        <w:rPr>
          <w:rFonts w:ascii="Times New Roman" w:eastAsia="Times New Roman" w:hAnsi="Times New Roman" w:cs="Times New Roman"/>
          <w:sz w:val="22"/>
          <w:szCs w:val="22"/>
          <w:lang w:val="la"/>
        </w:rPr>
        <w:lastRenderedPageBreak/>
        <w:t>las fracciones decimales se pueden expresar como porcentajes y que no todas las fracciones lo son.</w:t>
      </w:r>
    </w:p>
    <w:p w14:paraId="1F427532" w14:textId="77777777" w:rsidR="00753BE7" w:rsidRPr="00C94E22" w:rsidRDefault="00072D1A" w:rsidP="00753BE7">
      <w:pPr>
        <w:spacing w:after="120"/>
        <w:ind w:firstLine="709"/>
        <w:jc w:val="both"/>
        <w:rPr>
          <w:rFonts w:ascii="Times New Roman" w:eastAsia="Times New Roman" w:hAnsi="Times New Roman" w:cs="Times New Roman"/>
          <w:sz w:val="22"/>
          <w:szCs w:val="22"/>
        </w:rPr>
      </w:pPr>
      <w:r w:rsidRPr="00072D1A">
        <w:rPr>
          <w:rFonts w:ascii="Times New Roman" w:eastAsia="Times New Roman" w:hAnsi="Times New Roman" w:cs="Times New Roman"/>
          <w:sz w:val="22"/>
          <w:szCs w:val="22"/>
        </w:rPr>
        <w:t>También señalan conflictivo que el texto no incluya una definición clara y general de magnitudes proporcionales, sino que la descripción se particulariza a los ejemplos introductorios, vinculados con la representación por medio de una tabla de proporcionalidad. Por ejemplo, MF37 indica “no aparece una definición de lo que son las magnitudes proporcionales. Se usa la expresión tabla de proporcionalidad como sinónimo de serie de números proporcionales; se presentan como tales, tablas con 3 o 4 columnas, sin indicar que la serie es ilimitada”. Similarmente, otros participantes señalan como MF33 que “aparece un conflicto en cuanto a la explicación de por qué dos magnitudes son proporcionales. Únicamente, se justifica que no son proporcionales porque no pueden formar una tabla de proporcionalidad” (Figura 2).</w:t>
      </w:r>
      <w:r w:rsidR="00753BE7" w:rsidRPr="00C94E22">
        <w:rPr>
          <w:rFonts w:ascii="Times New Roman" w:eastAsia="Times New Roman" w:hAnsi="Times New Roman" w:cs="Times New Roman"/>
          <w:sz w:val="22"/>
          <w:szCs w:val="22"/>
        </w:rPr>
        <w:t xml:space="preserve"> </w:t>
      </w:r>
    </w:p>
    <w:p w14:paraId="1BB808F5" w14:textId="61A20263" w:rsidR="00753BE7" w:rsidRPr="00753BE7" w:rsidRDefault="00753BE7" w:rsidP="00753BE7">
      <w:pPr>
        <w:spacing w:after="120"/>
        <w:ind w:firstLine="709"/>
        <w:jc w:val="both"/>
        <w:rPr>
          <w:rFonts w:ascii="Times New Roman" w:eastAsia="Times New Roman" w:hAnsi="Times New Roman" w:cs="Times New Roman"/>
          <w:sz w:val="22"/>
          <w:szCs w:val="22"/>
        </w:rPr>
      </w:pPr>
      <w:r w:rsidRPr="00753BE7">
        <w:rPr>
          <w:rFonts w:ascii="Times New Roman" w:eastAsia="Times New Roman" w:hAnsi="Times New Roman" w:cs="Times New Roman"/>
          <w:sz w:val="22"/>
          <w:szCs w:val="22"/>
        </w:rPr>
        <w:t xml:space="preserve">El papel dado al registro tabular, y la carencia de explicación y justificación sobre su uso, puede llevar como indican varios MF a “pensar que la presencia de una tabla bidimensional supone la existencia de una relación de proporcionalidad” (MF23). Además, mencionan la ausencia de una definición explícita de constante de proporcionalidad (“no se hace explícito que la razón entre las cantidades que se corresponden debe ser siempre la misma: constante de proporcionalidad”, MF5) y que no se introduce ni emplea el modelo de la función lineal (“dejando también a un lado la relación de proporcionalidad con el modelo matemático de la función lineal”, MF45). </w:t>
      </w:r>
    </w:p>
    <w:p w14:paraId="7E3C50FA" w14:textId="06D9052C" w:rsidR="00753BE7" w:rsidRDefault="00753BE7" w:rsidP="00753BE7">
      <w:pPr>
        <w:spacing w:after="120"/>
        <w:ind w:firstLine="709"/>
        <w:jc w:val="both"/>
        <w:rPr>
          <w:rFonts w:ascii="Times New Roman" w:eastAsia="Times New Roman" w:hAnsi="Times New Roman" w:cs="Times New Roman"/>
          <w:sz w:val="22"/>
          <w:szCs w:val="22"/>
        </w:rPr>
      </w:pPr>
      <w:r w:rsidRPr="00753BE7">
        <w:rPr>
          <w:rFonts w:ascii="Times New Roman" w:eastAsia="Times New Roman" w:hAnsi="Times New Roman" w:cs="Times New Roman"/>
          <w:sz w:val="22"/>
          <w:szCs w:val="22"/>
        </w:rPr>
        <w:t xml:space="preserve">Aunque indican la carencia de las proposiciones fundamentales, no precisan cuales son éstas o qué proposiciones de las que incluye el autor son imprecisas o están incompletas. Únicamente MF33 aprecia que “no se especifica la constante de proporcionalidad ni tampoco las condiciones de regularidad que permiten considerar magnitudes directamente proporcionales”. </w:t>
      </w:r>
    </w:p>
    <w:p w14:paraId="4EA81D35" w14:textId="22756B3F" w:rsidR="007B5E6C" w:rsidRDefault="007B5E6C" w:rsidP="00753BE7">
      <w:pPr>
        <w:spacing w:after="120"/>
        <w:ind w:firstLine="709"/>
        <w:jc w:val="both"/>
        <w:rPr>
          <w:rFonts w:ascii="Times New Roman" w:eastAsia="Times New Roman" w:hAnsi="Times New Roman" w:cs="Times New Roman"/>
          <w:sz w:val="22"/>
          <w:szCs w:val="22"/>
        </w:rPr>
      </w:pPr>
    </w:p>
    <w:p w14:paraId="0DA0266F" w14:textId="53EF1BEE" w:rsidR="007B5E6C" w:rsidRDefault="007B5E6C" w:rsidP="00753BE7">
      <w:pPr>
        <w:spacing w:after="120"/>
        <w:ind w:firstLine="709"/>
        <w:jc w:val="both"/>
        <w:rPr>
          <w:rFonts w:ascii="Times New Roman" w:eastAsia="Times New Roman" w:hAnsi="Times New Roman" w:cs="Times New Roman"/>
          <w:sz w:val="22"/>
          <w:szCs w:val="22"/>
        </w:rPr>
      </w:pPr>
    </w:p>
    <w:p w14:paraId="170F6EBA" w14:textId="46179350" w:rsidR="007B5E6C" w:rsidRDefault="007B5E6C" w:rsidP="00753BE7">
      <w:pPr>
        <w:spacing w:after="120"/>
        <w:ind w:firstLine="709"/>
        <w:jc w:val="both"/>
        <w:rPr>
          <w:rFonts w:ascii="Times New Roman" w:eastAsia="Times New Roman" w:hAnsi="Times New Roman" w:cs="Times New Roman"/>
          <w:sz w:val="22"/>
          <w:szCs w:val="22"/>
        </w:rPr>
      </w:pPr>
    </w:p>
    <w:p w14:paraId="117B3151" w14:textId="3E1FAE51" w:rsidR="007B5E6C" w:rsidRDefault="007B5E6C" w:rsidP="00753BE7">
      <w:pPr>
        <w:spacing w:after="120"/>
        <w:ind w:firstLine="709"/>
        <w:jc w:val="both"/>
        <w:rPr>
          <w:rFonts w:ascii="Times New Roman" w:eastAsia="Times New Roman" w:hAnsi="Times New Roman" w:cs="Times New Roman"/>
          <w:sz w:val="22"/>
          <w:szCs w:val="22"/>
        </w:rPr>
      </w:pPr>
    </w:p>
    <w:p w14:paraId="606F349D" w14:textId="2542470D" w:rsidR="007B5E6C" w:rsidRDefault="007B5E6C" w:rsidP="00753BE7">
      <w:pPr>
        <w:spacing w:after="120"/>
        <w:ind w:firstLine="709"/>
        <w:jc w:val="both"/>
        <w:rPr>
          <w:rFonts w:ascii="Times New Roman" w:eastAsia="Times New Roman" w:hAnsi="Times New Roman" w:cs="Times New Roman"/>
          <w:sz w:val="22"/>
          <w:szCs w:val="22"/>
        </w:rPr>
      </w:pPr>
    </w:p>
    <w:p w14:paraId="7AAC734B" w14:textId="44CFFF94" w:rsidR="007B5E6C" w:rsidRDefault="007B5E6C" w:rsidP="00753BE7">
      <w:pPr>
        <w:spacing w:after="120"/>
        <w:ind w:firstLine="709"/>
        <w:jc w:val="both"/>
        <w:rPr>
          <w:rFonts w:ascii="Times New Roman" w:eastAsia="Times New Roman" w:hAnsi="Times New Roman" w:cs="Times New Roman"/>
          <w:sz w:val="22"/>
          <w:szCs w:val="22"/>
        </w:rPr>
      </w:pPr>
    </w:p>
    <w:p w14:paraId="7A8CAA01" w14:textId="0162CF05" w:rsidR="007B5E6C" w:rsidRDefault="007B5E6C" w:rsidP="00753BE7">
      <w:pPr>
        <w:spacing w:after="120"/>
        <w:ind w:firstLine="709"/>
        <w:jc w:val="both"/>
        <w:rPr>
          <w:rFonts w:ascii="Times New Roman" w:eastAsia="Times New Roman" w:hAnsi="Times New Roman" w:cs="Times New Roman"/>
          <w:sz w:val="22"/>
          <w:szCs w:val="22"/>
        </w:rPr>
      </w:pPr>
    </w:p>
    <w:p w14:paraId="46ACA099" w14:textId="77777777" w:rsidR="007B5E6C" w:rsidRPr="00753BE7" w:rsidRDefault="007B5E6C" w:rsidP="00753BE7">
      <w:pPr>
        <w:spacing w:after="120"/>
        <w:ind w:firstLine="709"/>
        <w:jc w:val="both"/>
        <w:rPr>
          <w:rFonts w:ascii="Times New Roman" w:eastAsia="Times New Roman" w:hAnsi="Times New Roman" w:cs="Times New Roman"/>
          <w:sz w:val="22"/>
          <w:szCs w:val="22"/>
        </w:rPr>
      </w:pPr>
    </w:p>
    <w:p w14:paraId="33BFAE81" w14:textId="3ADB91EE" w:rsidR="00753BE7" w:rsidRPr="00072D1A" w:rsidRDefault="00753BE7" w:rsidP="00753BE7">
      <w:pPr>
        <w:spacing w:after="120"/>
        <w:ind w:firstLine="709"/>
        <w:jc w:val="both"/>
        <w:rPr>
          <w:rFonts w:ascii="Times New Roman" w:eastAsia="Times New Roman" w:hAnsi="Times New Roman" w:cs="Times New Roman"/>
          <w:sz w:val="22"/>
          <w:szCs w:val="22"/>
        </w:rPr>
      </w:pPr>
      <w:r w:rsidRPr="00072D1A">
        <w:rPr>
          <w:rFonts w:ascii="Times New Roman" w:eastAsia="Times New Roman" w:hAnsi="Times New Roman" w:cs="Times New Roman"/>
          <w:b/>
          <w:bCs/>
          <w:sz w:val="22"/>
          <w:szCs w:val="22"/>
        </w:rPr>
        <w:t xml:space="preserve">Figura </w:t>
      </w:r>
      <w:r>
        <w:rPr>
          <w:rFonts w:ascii="Times New Roman" w:eastAsia="Times New Roman" w:hAnsi="Times New Roman" w:cs="Times New Roman"/>
          <w:b/>
          <w:bCs/>
          <w:sz w:val="22"/>
          <w:szCs w:val="22"/>
        </w:rPr>
        <w:t>2</w:t>
      </w:r>
    </w:p>
    <w:p w14:paraId="5B964D40" w14:textId="242D9439" w:rsidR="00753BE7" w:rsidRPr="00072D1A" w:rsidRDefault="00753BE7" w:rsidP="00753BE7">
      <w:pPr>
        <w:spacing w:after="120"/>
        <w:ind w:firstLine="709"/>
        <w:jc w:val="both"/>
        <w:rPr>
          <w:i/>
          <w:iCs/>
          <w:sz w:val="22"/>
          <w:szCs w:val="22"/>
        </w:rPr>
      </w:pPr>
      <w:r w:rsidRPr="00753BE7">
        <w:rPr>
          <w:rFonts w:ascii="Times New Roman" w:eastAsia="Times New Roman" w:hAnsi="Times New Roman" w:cs="Times New Roman"/>
          <w:i/>
          <w:iCs/>
          <w:sz w:val="22"/>
          <w:szCs w:val="22"/>
        </w:rPr>
        <w:t>Introducción a las magnitudes proporcionales (González et al., 2015, p.116)</w:t>
      </w:r>
    </w:p>
    <w:p w14:paraId="5A0C8CA4" w14:textId="273BDB72" w:rsidR="008E678A" w:rsidRDefault="00753BE7" w:rsidP="00753BE7">
      <w:pPr>
        <w:spacing w:after="120"/>
        <w:ind w:firstLine="709"/>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1C675604" wp14:editId="010C43F9">
            <wp:extent cx="3605543" cy="40786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7636" cy="4092285"/>
                    </a:xfrm>
                    <a:prstGeom prst="rect">
                      <a:avLst/>
                    </a:prstGeom>
                    <a:noFill/>
                  </pic:spPr>
                </pic:pic>
              </a:graphicData>
            </a:graphic>
          </wp:inline>
        </w:drawing>
      </w:r>
    </w:p>
    <w:p w14:paraId="4846EA7F" w14:textId="4BE4A55B" w:rsidR="00753BE7" w:rsidRDefault="00753BE7" w:rsidP="00753BE7">
      <w:pPr>
        <w:spacing w:after="120"/>
        <w:ind w:firstLine="709"/>
        <w:jc w:val="both"/>
        <w:rPr>
          <w:rFonts w:ascii="Times New Roman" w:eastAsia="Times New Roman" w:hAnsi="Times New Roman" w:cs="Times New Roman"/>
          <w:sz w:val="22"/>
          <w:szCs w:val="22"/>
        </w:rPr>
      </w:pPr>
      <w:r w:rsidRPr="00753BE7">
        <w:rPr>
          <w:rFonts w:ascii="Times New Roman" w:eastAsia="Times New Roman" w:hAnsi="Times New Roman" w:cs="Times New Roman"/>
          <w:sz w:val="22"/>
          <w:szCs w:val="22"/>
        </w:rPr>
        <w:t>En cuanto a la ausencia de argumentación o justificación de los procedimientos en el libro de texto, los participantes indican como MF5 que “no se explica de forma adecuada el procedimiento de reducción a la unidad en el libro de texto. Sólo indica ‘dividimos entre dos, es decir, reducimos a la unidad” (ver Figura 3).</w:t>
      </w:r>
    </w:p>
    <w:p w14:paraId="7D099F5C" w14:textId="6799E6BF" w:rsidR="00B81C6C" w:rsidRDefault="00B81C6C" w:rsidP="008D4248">
      <w:pPr>
        <w:spacing w:after="120"/>
        <w:ind w:firstLine="709"/>
        <w:jc w:val="both"/>
        <w:rPr>
          <w:rFonts w:ascii="Times New Roman" w:eastAsia="Times New Roman" w:hAnsi="Times New Roman" w:cs="Times New Roman"/>
          <w:b/>
          <w:bCs/>
          <w:sz w:val="22"/>
          <w:szCs w:val="22"/>
        </w:rPr>
      </w:pPr>
    </w:p>
    <w:p w14:paraId="16361889" w14:textId="34580FDE" w:rsidR="007B5E6C" w:rsidRDefault="007B5E6C" w:rsidP="008D4248">
      <w:pPr>
        <w:spacing w:after="120"/>
        <w:ind w:firstLine="709"/>
        <w:jc w:val="both"/>
        <w:rPr>
          <w:rFonts w:ascii="Times New Roman" w:eastAsia="Times New Roman" w:hAnsi="Times New Roman" w:cs="Times New Roman"/>
          <w:b/>
          <w:bCs/>
          <w:sz w:val="22"/>
          <w:szCs w:val="22"/>
        </w:rPr>
      </w:pPr>
    </w:p>
    <w:p w14:paraId="31659828" w14:textId="77777777" w:rsidR="007B5E6C" w:rsidRDefault="007B5E6C" w:rsidP="008D4248">
      <w:pPr>
        <w:spacing w:after="120"/>
        <w:ind w:firstLine="709"/>
        <w:jc w:val="both"/>
        <w:rPr>
          <w:rFonts w:ascii="Times New Roman" w:eastAsia="Times New Roman" w:hAnsi="Times New Roman" w:cs="Times New Roman"/>
          <w:b/>
          <w:bCs/>
          <w:sz w:val="22"/>
          <w:szCs w:val="22"/>
        </w:rPr>
      </w:pPr>
    </w:p>
    <w:p w14:paraId="5D806A18" w14:textId="0A050125" w:rsidR="008D4248" w:rsidRDefault="008D4248" w:rsidP="008D4248">
      <w:pPr>
        <w:spacing w:after="120"/>
        <w:ind w:firstLine="709"/>
        <w:jc w:val="both"/>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Figura 3</w:t>
      </w:r>
    </w:p>
    <w:p w14:paraId="64921F70" w14:textId="0C6A1A52" w:rsidR="008D4248" w:rsidRPr="008D4248" w:rsidRDefault="008D4248" w:rsidP="008D4248">
      <w:pPr>
        <w:spacing w:after="120"/>
        <w:ind w:firstLine="709"/>
        <w:jc w:val="both"/>
        <w:rPr>
          <w:rFonts w:ascii="Times New Roman" w:eastAsia="Times New Roman" w:hAnsi="Times New Roman" w:cs="Times New Roman"/>
          <w:i/>
          <w:iCs/>
          <w:sz w:val="22"/>
          <w:szCs w:val="22"/>
        </w:rPr>
      </w:pPr>
      <w:r w:rsidRPr="008D4248">
        <w:rPr>
          <w:rFonts w:ascii="Times New Roman" w:eastAsia="Times New Roman" w:hAnsi="Times New Roman" w:cs="Times New Roman"/>
          <w:i/>
          <w:iCs/>
          <w:sz w:val="22"/>
          <w:szCs w:val="22"/>
        </w:rPr>
        <w:t>Reducción a la unidad y regla de tres (González et al., 2015, p.118)</w:t>
      </w:r>
    </w:p>
    <w:p w14:paraId="1DA8820E" w14:textId="305FDC53" w:rsidR="008D4248" w:rsidRPr="008D4248" w:rsidRDefault="008D4248" w:rsidP="00753BE7">
      <w:pPr>
        <w:spacing w:after="120"/>
        <w:ind w:firstLine="709"/>
        <w:jc w:val="both"/>
        <w:rPr>
          <w:rFonts w:ascii="Times New Roman" w:eastAsia="Times New Roman" w:hAnsi="Times New Roman" w:cs="Times New Roman"/>
          <w:sz w:val="22"/>
          <w:szCs w:val="22"/>
          <w:lang w:val="es-CR"/>
        </w:rPr>
      </w:pPr>
      <w:r>
        <w:rPr>
          <w:rFonts w:ascii="Times New Roman" w:eastAsia="Times New Roman" w:hAnsi="Times New Roman" w:cs="Times New Roman"/>
          <w:noProof/>
          <w:sz w:val="22"/>
          <w:szCs w:val="22"/>
          <w:lang w:val="es-CR"/>
        </w:rPr>
        <w:drawing>
          <wp:inline distT="0" distB="0" distL="0" distR="0" wp14:anchorId="38760B19" wp14:editId="247B7C64">
            <wp:extent cx="3950335" cy="39382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335" cy="3938270"/>
                    </a:xfrm>
                    <a:prstGeom prst="rect">
                      <a:avLst/>
                    </a:prstGeom>
                    <a:noFill/>
                  </pic:spPr>
                </pic:pic>
              </a:graphicData>
            </a:graphic>
          </wp:inline>
        </w:drawing>
      </w:r>
    </w:p>
    <w:p w14:paraId="1E088E7D" w14:textId="771F3047" w:rsidR="008E678A" w:rsidRDefault="008D4248" w:rsidP="008D4248">
      <w:pPr>
        <w:spacing w:after="120"/>
        <w:ind w:firstLine="709"/>
        <w:jc w:val="both"/>
        <w:rPr>
          <w:rFonts w:ascii="Times New Roman" w:eastAsia="Times New Roman" w:hAnsi="Times New Roman" w:cs="Times New Roman"/>
          <w:sz w:val="22"/>
          <w:szCs w:val="22"/>
          <w:lang w:val="la"/>
        </w:rPr>
      </w:pPr>
      <w:r w:rsidRPr="008D4248">
        <w:rPr>
          <w:rFonts w:ascii="Times New Roman" w:eastAsia="Times New Roman" w:hAnsi="Times New Roman" w:cs="Times New Roman"/>
          <w:sz w:val="22"/>
          <w:szCs w:val="22"/>
          <w:lang w:val="la"/>
        </w:rPr>
        <w:t xml:space="preserve">Ciertamente, cuando el autor del texto presenta el procedimiento de regla de tres, no explica por qué se escriben en forma de fracción los pares de valores que se corresponden, por qué son iguales las fracciones, o por qué se resuelve multiplicando ‘los datos conocidos que están en cruz’. Tampoco hace referencia a la propiedad: ‘en una proporción el producto de medios es igual al producto de extremos’. En este sentido, los participantes consideran como MF46 que “los procedimientos de reducción a la unidad y regla de tres no son claros, pudiendo darse el caso de que algunos alumnos no se den cuenta de que, para poder aplicarlos, es necesario que las magnitudes sean proporcionales”. En efecto, en la lección no se analizan o discuten qué condiciones deben </w:t>
      </w:r>
      <w:r w:rsidRPr="008D4248">
        <w:rPr>
          <w:rFonts w:ascii="Times New Roman" w:eastAsia="Times New Roman" w:hAnsi="Times New Roman" w:cs="Times New Roman"/>
          <w:sz w:val="22"/>
          <w:szCs w:val="22"/>
          <w:lang w:val="la"/>
        </w:rPr>
        <w:lastRenderedPageBreak/>
        <w:t>cumplirse o qué supuestos hay que aceptar para que el modelo de proporcionalidad directa sea aplicable. Además, indican que estos son los únicos procedimientos dados y que no se ofrece al alumno la posibilidad de “discutir o explicar su punto de vista sobre otros procedimientos para resolver problemas de proporcionalidad” (MF46). De igual forma, todos los MF indicaron algún conflicto en la dimensión cognitivo- afectiva y todos son correctos.</w:t>
      </w:r>
    </w:p>
    <w:p w14:paraId="52389759" w14:textId="6DD40213" w:rsidR="008D4248" w:rsidRPr="008D4248" w:rsidRDefault="008D4248" w:rsidP="008D4248">
      <w:pPr>
        <w:keepNext/>
        <w:spacing w:after="120"/>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Tabla </w:t>
      </w:r>
      <w:r>
        <w:rPr>
          <w:rFonts w:ascii="Times New Roman" w:eastAsia="Times New Roman" w:hAnsi="Times New Roman" w:cs="Times New Roman"/>
          <w:b/>
          <w:bCs/>
          <w:sz w:val="22"/>
          <w:szCs w:val="22"/>
        </w:rPr>
        <w:t>2</w:t>
      </w:r>
    </w:p>
    <w:p w14:paraId="333C2EA5" w14:textId="7E4CC526" w:rsidR="008D4248" w:rsidRPr="008D4248" w:rsidRDefault="008D4248" w:rsidP="008D4248">
      <w:pPr>
        <w:spacing w:after="120"/>
        <w:rPr>
          <w:rFonts w:ascii="Times New Roman" w:eastAsia="Times New Roman" w:hAnsi="Times New Roman" w:cs="Times New Roman"/>
          <w:i/>
          <w:iCs/>
          <w:sz w:val="22"/>
          <w:szCs w:val="22"/>
        </w:rPr>
      </w:pPr>
      <w:r w:rsidRPr="008D4248">
        <w:rPr>
          <w:rFonts w:ascii="Times New Roman" w:eastAsia="Times New Roman" w:hAnsi="Times New Roman" w:cs="Times New Roman"/>
          <w:i/>
          <w:iCs/>
          <w:sz w:val="22"/>
          <w:szCs w:val="22"/>
        </w:rPr>
        <w:t>Conflictos cognitivo-afectivos identificados por los MF y frecuencia (</w:t>
      </w:r>
      <w:proofErr w:type="spellStart"/>
      <w:r w:rsidRPr="008D4248">
        <w:rPr>
          <w:rFonts w:ascii="Times New Roman" w:eastAsia="Times New Roman" w:hAnsi="Times New Roman" w:cs="Times New Roman"/>
          <w:i/>
          <w:iCs/>
          <w:sz w:val="22"/>
          <w:szCs w:val="22"/>
        </w:rPr>
        <w:t>Frec</w:t>
      </w:r>
      <w:proofErr w:type="spellEnd"/>
      <w:r w:rsidRPr="008D4248">
        <w:rPr>
          <w:rFonts w:ascii="Times New Roman" w:eastAsia="Times New Roman" w:hAnsi="Times New Roman" w:cs="Times New Roman"/>
          <w:i/>
          <w:iCs/>
          <w:sz w:val="22"/>
          <w:szCs w:val="22"/>
        </w:rPr>
        <w:t>.)</w:t>
      </w:r>
    </w:p>
    <w:tbl>
      <w:tblPr>
        <w:tblStyle w:val="Tablaconcuadrcula"/>
        <w:tblW w:w="6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4536"/>
        <w:gridCol w:w="714"/>
      </w:tblGrid>
      <w:tr w:rsidR="008D4248" w:rsidRPr="006515C6" w14:paraId="767B48DB" w14:textId="77777777" w:rsidTr="008D4248">
        <w:tc>
          <w:tcPr>
            <w:tcW w:w="1560" w:type="dxa"/>
            <w:tcBorders>
              <w:top w:val="single" w:sz="12" w:space="0" w:color="auto"/>
              <w:bottom w:val="double" w:sz="4" w:space="0" w:color="auto"/>
            </w:tcBorders>
          </w:tcPr>
          <w:p w14:paraId="26D6486F" w14:textId="77777777" w:rsidR="008D4248" w:rsidRPr="00201EE4" w:rsidRDefault="008D4248" w:rsidP="00AF58D1">
            <w:pPr>
              <w:rPr>
                <w:rFonts w:ascii="Times New Roman" w:hAnsi="Times New Roman"/>
                <w:sz w:val="22"/>
                <w:szCs w:val="22"/>
              </w:rPr>
            </w:pPr>
            <w:r w:rsidRPr="00201EE4">
              <w:rPr>
                <w:rFonts w:ascii="Times New Roman" w:hAnsi="Times New Roman"/>
                <w:sz w:val="22"/>
                <w:szCs w:val="22"/>
              </w:rPr>
              <w:t>Componente</w:t>
            </w:r>
          </w:p>
        </w:tc>
        <w:tc>
          <w:tcPr>
            <w:tcW w:w="4536" w:type="dxa"/>
            <w:tcBorders>
              <w:top w:val="single" w:sz="12" w:space="0" w:color="auto"/>
              <w:bottom w:val="double" w:sz="4" w:space="0" w:color="auto"/>
            </w:tcBorders>
          </w:tcPr>
          <w:p w14:paraId="05A591A9"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Descriptor del conflicto</w:t>
            </w:r>
          </w:p>
        </w:tc>
        <w:tc>
          <w:tcPr>
            <w:tcW w:w="714" w:type="dxa"/>
            <w:tcBorders>
              <w:top w:val="single" w:sz="12" w:space="0" w:color="auto"/>
              <w:bottom w:val="double" w:sz="4" w:space="0" w:color="auto"/>
            </w:tcBorders>
          </w:tcPr>
          <w:p w14:paraId="3BD1B0E0" w14:textId="77777777" w:rsidR="008D4248" w:rsidRPr="00201EE4" w:rsidRDefault="008D4248" w:rsidP="00AF58D1">
            <w:pPr>
              <w:jc w:val="center"/>
              <w:rPr>
                <w:rFonts w:ascii="Times New Roman" w:hAnsi="Times New Roman"/>
                <w:sz w:val="22"/>
                <w:szCs w:val="22"/>
              </w:rPr>
            </w:pPr>
            <w:proofErr w:type="spellStart"/>
            <w:r w:rsidRPr="00201EE4">
              <w:rPr>
                <w:rFonts w:ascii="Times New Roman" w:hAnsi="Times New Roman"/>
                <w:sz w:val="22"/>
                <w:szCs w:val="22"/>
              </w:rPr>
              <w:t>Frec</w:t>
            </w:r>
            <w:proofErr w:type="spellEnd"/>
          </w:p>
        </w:tc>
      </w:tr>
      <w:tr w:rsidR="008D4248" w:rsidRPr="006515C6" w14:paraId="3D7813F5" w14:textId="77777777" w:rsidTr="008D4248">
        <w:trPr>
          <w:trHeight w:val="691"/>
        </w:trPr>
        <w:tc>
          <w:tcPr>
            <w:tcW w:w="1560" w:type="dxa"/>
            <w:tcBorders>
              <w:top w:val="double" w:sz="4" w:space="0" w:color="auto"/>
            </w:tcBorders>
          </w:tcPr>
          <w:p w14:paraId="72A6DE56" w14:textId="77777777" w:rsidR="008D4248" w:rsidRPr="00201EE4" w:rsidRDefault="008D4248" w:rsidP="00AF58D1">
            <w:pPr>
              <w:rPr>
                <w:rFonts w:ascii="Times New Roman" w:hAnsi="Times New Roman"/>
                <w:sz w:val="22"/>
                <w:szCs w:val="22"/>
              </w:rPr>
            </w:pPr>
            <w:r w:rsidRPr="00201EE4">
              <w:rPr>
                <w:rFonts w:ascii="Times New Roman" w:hAnsi="Times New Roman"/>
                <w:sz w:val="22"/>
                <w:szCs w:val="22"/>
              </w:rPr>
              <w:t>Conocimientos previos</w:t>
            </w:r>
          </w:p>
        </w:tc>
        <w:tc>
          <w:tcPr>
            <w:tcW w:w="4536" w:type="dxa"/>
            <w:tcBorders>
              <w:top w:val="double" w:sz="4" w:space="0" w:color="auto"/>
            </w:tcBorders>
          </w:tcPr>
          <w:p w14:paraId="06AC6EEC" w14:textId="77777777" w:rsidR="008D4248" w:rsidRPr="00201EE4" w:rsidRDefault="008D4248" w:rsidP="008D4248">
            <w:pPr>
              <w:jc w:val="both"/>
              <w:rPr>
                <w:rFonts w:ascii="Times New Roman" w:hAnsi="Times New Roman"/>
                <w:sz w:val="22"/>
                <w:szCs w:val="22"/>
              </w:rPr>
            </w:pPr>
            <w:r w:rsidRPr="00201EE4">
              <w:rPr>
                <w:rFonts w:ascii="Times New Roman" w:hAnsi="Times New Roman"/>
                <w:sz w:val="22"/>
                <w:szCs w:val="22"/>
              </w:rPr>
              <w:t>No se contemplan los conocimientos previos en relación con fracciones, equivalencia de fracciones o medida de magnitudes</w:t>
            </w:r>
          </w:p>
        </w:tc>
        <w:tc>
          <w:tcPr>
            <w:tcW w:w="714" w:type="dxa"/>
            <w:tcBorders>
              <w:top w:val="double" w:sz="4" w:space="0" w:color="auto"/>
            </w:tcBorders>
          </w:tcPr>
          <w:p w14:paraId="202819F2"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20</w:t>
            </w:r>
          </w:p>
        </w:tc>
      </w:tr>
      <w:tr w:rsidR="008D4248" w:rsidRPr="006515C6" w14:paraId="5847A0AE" w14:textId="77777777" w:rsidTr="008D4248">
        <w:trPr>
          <w:trHeight w:val="689"/>
        </w:trPr>
        <w:tc>
          <w:tcPr>
            <w:tcW w:w="1560" w:type="dxa"/>
            <w:tcBorders>
              <w:top w:val="single" w:sz="4" w:space="0" w:color="auto"/>
              <w:bottom w:val="nil"/>
            </w:tcBorders>
          </w:tcPr>
          <w:p w14:paraId="42A27CF0" w14:textId="77777777" w:rsidR="008D4248" w:rsidRPr="00201EE4" w:rsidRDefault="008D4248" w:rsidP="00AF58D1">
            <w:pPr>
              <w:rPr>
                <w:rFonts w:ascii="Times New Roman" w:hAnsi="Times New Roman"/>
                <w:sz w:val="22"/>
                <w:szCs w:val="22"/>
              </w:rPr>
            </w:pPr>
            <w:r w:rsidRPr="00201EE4">
              <w:rPr>
                <w:rFonts w:ascii="Times New Roman" w:hAnsi="Times New Roman"/>
                <w:sz w:val="22"/>
                <w:szCs w:val="22"/>
              </w:rPr>
              <w:t>Diferencias individuales</w:t>
            </w:r>
          </w:p>
        </w:tc>
        <w:tc>
          <w:tcPr>
            <w:tcW w:w="4536" w:type="dxa"/>
            <w:tcBorders>
              <w:top w:val="single" w:sz="4" w:space="0" w:color="auto"/>
            </w:tcBorders>
          </w:tcPr>
          <w:p w14:paraId="6E9FE258" w14:textId="77777777" w:rsidR="008D4248" w:rsidRPr="00201EE4" w:rsidRDefault="008D4248" w:rsidP="008D4248">
            <w:pPr>
              <w:jc w:val="both"/>
              <w:rPr>
                <w:rFonts w:ascii="Times New Roman" w:hAnsi="Times New Roman"/>
                <w:sz w:val="22"/>
                <w:szCs w:val="22"/>
              </w:rPr>
            </w:pPr>
            <w:r w:rsidRPr="00201EE4">
              <w:rPr>
                <w:rFonts w:ascii="Times New Roman" w:hAnsi="Times New Roman"/>
                <w:sz w:val="22"/>
                <w:szCs w:val="22"/>
              </w:rPr>
              <w:t>La falta de diversidad de estrategias (construcción progresiva, aditivas, multiplicativas) evita el acceso y logro de todos los estudiantes</w:t>
            </w:r>
          </w:p>
        </w:tc>
        <w:tc>
          <w:tcPr>
            <w:tcW w:w="714" w:type="dxa"/>
            <w:tcBorders>
              <w:top w:val="single" w:sz="4" w:space="0" w:color="auto"/>
              <w:bottom w:val="nil"/>
            </w:tcBorders>
          </w:tcPr>
          <w:p w14:paraId="06BB3E09"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19</w:t>
            </w:r>
          </w:p>
        </w:tc>
      </w:tr>
      <w:tr w:rsidR="008D4248" w:rsidRPr="006515C6" w14:paraId="6F0A7043" w14:textId="77777777" w:rsidTr="008D4248">
        <w:trPr>
          <w:trHeight w:val="50"/>
        </w:trPr>
        <w:tc>
          <w:tcPr>
            <w:tcW w:w="1560" w:type="dxa"/>
            <w:vMerge w:val="restart"/>
            <w:tcBorders>
              <w:top w:val="single" w:sz="4" w:space="0" w:color="auto"/>
            </w:tcBorders>
          </w:tcPr>
          <w:p w14:paraId="4EEC2301" w14:textId="77777777" w:rsidR="008D4248" w:rsidRPr="00201EE4" w:rsidRDefault="008D4248" w:rsidP="00AF58D1">
            <w:pPr>
              <w:rPr>
                <w:rFonts w:ascii="Times New Roman" w:hAnsi="Times New Roman"/>
                <w:sz w:val="22"/>
                <w:szCs w:val="22"/>
              </w:rPr>
            </w:pPr>
            <w:r w:rsidRPr="00201EE4">
              <w:rPr>
                <w:rFonts w:ascii="Times New Roman" w:hAnsi="Times New Roman"/>
                <w:sz w:val="22"/>
                <w:szCs w:val="22"/>
              </w:rPr>
              <w:t>Progresión en la dificultad</w:t>
            </w:r>
          </w:p>
        </w:tc>
        <w:tc>
          <w:tcPr>
            <w:tcW w:w="4536" w:type="dxa"/>
            <w:tcBorders>
              <w:top w:val="single" w:sz="4" w:space="0" w:color="auto"/>
              <w:bottom w:val="single" w:sz="4" w:space="0" w:color="FFFFFF" w:themeColor="background1"/>
            </w:tcBorders>
          </w:tcPr>
          <w:p w14:paraId="5407B780" w14:textId="77777777" w:rsidR="008D4248" w:rsidRPr="00201EE4" w:rsidRDefault="008D4248" w:rsidP="008D4248">
            <w:pPr>
              <w:jc w:val="both"/>
              <w:rPr>
                <w:rFonts w:ascii="Times New Roman" w:hAnsi="Times New Roman"/>
                <w:sz w:val="22"/>
                <w:szCs w:val="22"/>
              </w:rPr>
            </w:pPr>
            <w:r w:rsidRPr="00201EE4">
              <w:rPr>
                <w:rFonts w:ascii="Times New Roman" w:hAnsi="Times New Roman"/>
                <w:sz w:val="22"/>
                <w:szCs w:val="22"/>
              </w:rPr>
              <w:t>La dificultad de las situaciones propuestas es similar.</w:t>
            </w:r>
          </w:p>
        </w:tc>
        <w:tc>
          <w:tcPr>
            <w:tcW w:w="714" w:type="dxa"/>
            <w:tcBorders>
              <w:top w:val="single" w:sz="4" w:space="0" w:color="auto"/>
              <w:bottom w:val="single" w:sz="4" w:space="0" w:color="FFFFFF" w:themeColor="background1"/>
            </w:tcBorders>
          </w:tcPr>
          <w:p w14:paraId="4717970C"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15</w:t>
            </w:r>
          </w:p>
        </w:tc>
      </w:tr>
      <w:tr w:rsidR="008D4248" w:rsidRPr="006515C6" w14:paraId="2FC80CD0" w14:textId="77777777" w:rsidTr="008D4248">
        <w:tc>
          <w:tcPr>
            <w:tcW w:w="1560" w:type="dxa"/>
            <w:vMerge/>
            <w:tcBorders>
              <w:bottom w:val="single" w:sz="4" w:space="0" w:color="auto"/>
            </w:tcBorders>
          </w:tcPr>
          <w:p w14:paraId="7E81B06C" w14:textId="77777777" w:rsidR="008D4248" w:rsidRPr="00201EE4" w:rsidRDefault="008D4248" w:rsidP="00AF58D1">
            <w:pPr>
              <w:rPr>
                <w:rFonts w:ascii="Times New Roman" w:hAnsi="Times New Roman"/>
                <w:sz w:val="22"/>
                <w:szCs w:val="22"/>
              </w:rPr>
            </w:pPr>
          </w:p>
        </w:tc>
        <w:tc>
          <w:tcPr>
            <w:tcW w:w="4536" w:type="dxa"/>
            <w:tcBorders>
              <w:top w:val="single" w:sz="4" w:space="0" w:color="FFFFFF" w:themeColor="background1"/>
              <w:bottom w:val="single" w:sz="4" w:space="0" w:color="auto"/>
            </w:tcBorders>
          </w:tcPr>
          <w:p w14:paraId="505A29A0" w14:textId="77777777" w:rsidR="008D4248" w:rsidRPr="00201EE4" w:rsidRDefault="008D4248" w:rsidP="008D4248">
            <w:pPr>
              <w:jc w:val="both"/>
              <w:rPr>
                <w:rFonts w:ascii="Times New Roman" w:hAnsi="Times New Roman"/>
                <w:sz w:val="22"/>
                <w:szCs w:val="22"/>
              </w:rPr>
            </w:pPr>
            <w:r w:rsidRPr="00201EE4">
              <w:rPr>
                <w:rFonts w:ascii="Times New Roman" w:hAnsi="Times New Roman"/>
                <w:sz w:val="22"/>
                <w:szCs w:val="22"/>
              </w:rPr>
              <w:t>No se advierte de posibles errores (ilusión de linealidad, asumir como suficientes condiciones necesarias o uso de estrategias aditivas erróneas)</w:t>
            </w:r>
          </w:p>
        </w:tc>
        <w:tc>
          <w:tcPr>
            <w:tcW w:w="714" w:type="dxa"/>
            <w:tcBorders>
              <w:top w:val="single" w:sz="4" w:space="0" w:color="FFFFFF" w:themeColor="background1"/>
              <w:bottom w:val="single" w:sz="4" w:space="0" w:color="auto"/>
            </w:tcBorders>
          </w:tcPr>
          <w:p w14:paraId="2DFBCBD9"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22</w:t>
            </w:r>
          </w:p>
        </w:tc>
      </w:tr>
      <w:tr w:rsidR="008D4248" w:rsidRPr="006515C6" w14:paraId="3B98CB5D" w14:textId="77777777" w:rsidTr="008D4248">
        <w:tc>
          <w:tcPr>
            <w:tcW w:w="1560" w:type="dxa"/>
            <w:tcBorders>
              <w:top w:val="single" w:sz="4" w:space="0" w:color="auto"/>
              <w:bottom w:val="single" w:sz="4" w:space="0" w:color="auto"/>
            </w:tcBorders>
          </w:tcPr>
          <w:p w14:paraId="28A05E42" w14:textId="77777777" w:rsidR="008D4248" w:rsidRPr="00201EE4" w:rsidRDefault="008D4248" w:rsidP="00AF58D1">
            <w:pPr>
              <w:rPr>
                <w:rFonts w:ascii="Times New Roman" w:hAnsi="Times New Roman"/>
                <w:sz w:val="22"/>
                <w:szCs w:val="22"/>
              </w:rPr>
            </w:pPr>
            <w:r w:rsidRPr="00201EE4">
              <w:rPr>
                <w:rFonts w:ascii="Times New Roman" w:hAnsi="Times New Roman"/>
                <w:sz w:val="22"/>
                <w:szCs w:val="22"/>
              </w:rPr>
              <w:t>Evaluación</w:t>
            </w:r>
          </w:p>
        </w:tc>
        <w:tc>
          <w:tcPr>
            <w:tcW w:w="4536" w:type="dxa"/>
            <w:tcBorders>
              <w:top w:val="single" w:sz="4" w:space="0" w:color="auto"/>
              <w:bottom w:val="single" w:sz="4" w:space="0" w:color="auto"/>
            </w:tcBorders>
          </w:tcPr>
          <w:p w14:paraId="2B4CC386" w14:textId="77777777" w:rsidR="008D4248" w:rsidRPr="00201EE4" w:rsidRDefault="008D4248" w:rsidP="008D4248">
            <w:pPr>
              <w:jc w:val="both"/>
              <w:rPr>
                <w:rFonts w:ascii="Times New Roman" w:hAnsi="Times New Roman"/>
                <w:sz w:val="22"/>
                <w:szCs w:val="22"/>
              </w:rPr>
            </w:pPr>
            <w:r w:rsidRPr="00201EE4">
              <w:rPr>
                <w:rFonts w:ascii="Times New Roman" w:hAnsi="Times New Roman"/>
                <w:sz w:val="22"/>
                <w:szCs w:val="22"/>
              </w:rPr>
              <w:t>No se proponen instrumentos de autoevaluación</w:t>
            </w:r>
          </w:p>
          <w:p w14:paraId="3AF5B256" w14:textId="77777777" w:rsidR="008D4248" w:rsidRPr="00201EE4" w:rsidRDefault="008D4248" w:rsidP="008D4248">
            <w:pPr>
              <w:jc w:val="both"/>
              <w:rPr>
                <w:rFonts w:ascii="Times New Roman" w:hAnsi="Times New Roman"/>
                <w:sz w:val="22"/>
                <w:szCs w:val="22"/>
              </w:rPr>
            </w:pPr>
            <w:r w:rsidRPr="00201EE4">
              <w:rPr>
                <w:rFonts w:ascii="Times New Roman" w:hAnsi="Times New Roman"/>
                <w:sz w:val="22"/>
                <w:szCs w:val="22"/>
              </w:rPr>
              <w:t>Los modos de evaluación no son adecuados para que los alumnos conozcan sus progresos y adquieran los conocimientos y competencias esperadas</w:t>
            </w:r>
          </w:p>
        </w:tc>
        <w:tc>
          <w:tcPr>
            <w:tcW w:w="714" w:type="dxa"/>
            <w:tcBorders>
              <w:top w:val="single" w:sz="4" w:space="0" w:color="auto"/>
              <w:bottom w:val="single" w:sz="4" w:space="0" w:color="auto"/>
            </w:tcBorders>
          </w:tcPr>
          <w:p w14:paraId="7EC77218"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28</w:t>
            </w:r>
          </w:p>
          <w:p w14:paraId="4470EF4A"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12</w:t>
            </w:r>
          </w:p>
        </w:tc>
      </w:tr>
      <w:tr w:rsidR="008D4248" w:rsidRPr="006515C6" w14:paraId="0E843752" w14:textId="77777777" w:rsidTr="008D4248">
        <w:tc>
          <w:tcPr>
            <w:tcW w:w="1560" w:type="dxa"/>
            <w:tcBorders>
              <w:top w:val="single" w:sz="4" w:space="0" w:color="auto"/>
              <w:bottom w:val="single" w:sz="4" w:space="0" w:color="auto"/>
            </w:tcBorders>
          </w:tcPr>
          <w:p w14:paraId="6FBE94AF" w14:textId="77777777" w:rsidR="008D4248" w:rsidRPr="00201EE4" w:rsidRDefault="008D4248" w:rsidP="00AF58D1">
            <w:pPr>
              <w:rPr>
                <w:rFonts w:ascii="Times New Roman" w:hAnsi="Times New Roman"/>
                <w:sz w:val="22"/>
                <w:szCs w:val="22"/>
              </w:rPr>
            </w:pPr>
            <w:r w:rsidRPr="00201EE4">
              <w:rPr>
                <w:rFonts w:ascii="Times New Roman" w:hAnsi="Times New Roman"/>
                <w:sz w:val="22"/>
                <w:szCs w:val="22"/>
              </w:rPr>
              <w:t>Actitudes</w:t>
            </w:r>
          </w:p>
        </w:tc>
        <w:tc>
          <w:tcPr>
            <w:tcW w:w="4536" w:type="dxa"/>
            <w:tcBorders>
              <w:top w:val="single" w:sz="4" w:space="0" w:color="auto"/>
              <w:bottom w:val="single" w:sz="4" w:space="0" w:color="auto"/>
            </w:tcBorders>
          </w:tcPr>
          <w:p w14:paraId="7D5AFEF9" w14:textId="77777777" w:rsidR="008D4248" w:rsidRPr="00201EE4" w:rsidRDefault="008D4248" w:rsidP="008D4248">
            <w:pPr>
              <w:jc w:val="both"/>
              <w:rPr>
                <w:rFonts w:ascii="Times New Roman" w:hAnsi="Times New Roman"/>
                <w:sz w:val="22"/>
                <w:szCs w:val="22"/>
              </w:rPr>
            </w:pPr>
            <w:r w:rsidRPr="00201EE4">
              <w:rPr>
                <w:rFonts w:ascii="Times New Roman" w:hAnsi="Times New Roman"/>
                <w:sz w:val="22"/>
                <w:szCs w:val="22"/>
              </w:rPr>
              <w:t>No se fomenta la flexibilidad de los alumnos para explorar métodos alternativos de resolución de problemas.</w:t>
            </w:r>
          </w:p>
        </w:tc>
        <w:tc>
          <w:tcPr>
            <w:tcW w:w="714" w:type="dxa"/>
            <w:tcBorders>
              <w:top w:val="single" w:sz="4" w:space="0" w:color="auto"/>
              <w:bottom w:val="single" w:sz="4" w:space="0" w:color="auto"/>
            </w:tcBorders>
          </w:tcPr>
          <w:p w14:paraId="26F48AF9"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24</w:t>
            </w:r>
          </w:p>
        </w:tc>
      </w:tr>
      <w:tr w:rsidR="008D4248" w:rsidRPr="006515C6" w14:paraId="449DA8ED" w14:textId="77777777" w:rsidTr="008D4248">
        <w:tc>
          <w:tcPr>
            <w:tcW w:w="1560" w:type="dxa"/>
            <w:tcBorders>
              <w:top w:val="single" w:sz="4" w:space="0" w:color="auto"/>
              <w:bottom w:val="single" w:sz="4" w:space="0" w:color="auto"/>
            </w:tcBorders>
          </w:tcPr>
          <w:p w14:paraId="014AF57F" w14:textId="77777777" w:rsidR="008D4248" w:rsidRPr="00201EE4" w:rsidRDefault="008D4248" w:rsidP="00AF58D1">
            <w:pPr>
              <w:rPr>
                <w:rFonts w:ascii="Times New Roman" w:hAnsi="Times New Roman"/>
                <w:sz w:val="22"/>
                <w:szCs w:val="22"/>
              </w:rPr>
            </w:pPr>
            <w:r w:rsidRPr="00201EE4">
              <w:rPr>
                <w:rFonts w:ascii="Times New Roman" w:hAnsi="Times New Roman"/>
                <w:sz w:val="22"/>
                <w:szCs w:val="22"/>
              </w:rPr>
              <w:t>Emociones</w:t>
            </w:r>
          </w:p>
        </w:tc>
        <w:tc>
          <w:tcPr>
            <w:tcW w:w="4536" w:type="dxa"/>
            <w:tcBorders>
              <w:top w:val="single" w:sz="4" w:space="0" w:color="auto"/>
              <w:bottom w:val="single" w:sz="4" w:space="0" w:color="auto"/>
            </w:tcBorders>
          </w:tcPr>
          <w:p w14:paraId="33B8BF29" w14:textId="77777777" w:rsidR="008D4248" w:rsidRPr="00201EE4" w:rsidRDefault="008D4248" w:rsidP="008D4248">
            <w:pPr>
              <w:jc w:val="both"/>
              <w:rPr>
                <w:rFonts w:ascii="Times New Roman" w:hAnsi="Times New Roman"/>
                <w:sz w:val="22"/>
                <w:szCs w:val="22"/>
              </w:rPr>
            </w:pPr>
            <w:r w:rsidRPr="00201EE4">
              <w:rPr>
                <w:rFonts w:ascii="Times New Roman" w:hAnsi="Times New Roman"/>
                <w:sz w:val="22"/>
                <w:szCs w:val="22"/>
              </w:rPr>
              <w:t>No existen elementos motivadores, ni se razonamientos lógicos u originales</w:t>
            </w:r>
          </w:p>
        </w:tc>
        <w:tc>
          <w:tcPr>
            <w:tcW w:w="714" w:type="dxa"/>
            <w:tcBorders>
              <w:top w:val="single" w:sz="4" w:space="0" w:color="auto"/>
              <w:bottom w:val="single" w:sz="4" w:space="0" w:color="auto"/>
            </w:tcBorders>
          </w:tcPr>
          <w:p w14:paraId="518A604F"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17</w:t>
            </w:r>
          </w:p>
        </w:tc>
      </w:tr>
      <w:tr w:rsidR="008D4248" w:rsidRPr="006515C6" w14:paraId="7F89B3F0" w14:textId="77777777" w:rsidTr="008D4248">
        <w:tc>
          <w:tcPr>
            <w:tcW w:w="1560" w:type="dxa"/>
            <w:tcBorders>
              <w:top w:val="single" w:sz="4" w:space="0" w:color="auto"/>
              <w:bottom w:val="single" w:sz="12" w:space="0" w:color="auto"/>
            </w:tcBorders>
          </w:tcPr>
          <w:p w14:paraId="6F6675BE" w14:textId="77777777" w:rsidR="008D4248" w:rsidRPr="00201EE4" w:rsidRDefault="008D4248" w:rsidP="00AF58D1">
            <w:pPr>
              <w:rPr>
                <w:rFonts w:ascii="Times New Roman" w:hAnsi="Times New Roman"/>
                <w:sz w:val="22"/>
                <w:szCs w:val="22"/>
              </w:rPr>
            </w:pPr>
            <w:r w:rsidRPr="00201EE4">
              <w:rPr>
                <w:rFonts w:ascii="Times New Roman" w:hAnsi="Times New Roman"/>
                <w:sz w:val="22"/>
                <w:szCs w:val="22"/>
              </w:rPr>
              <w:t>Valores</w:t>
            </w:r>
          </w:p>
        </w:tc>
        <w:tc>
          <w:tcPr>
            <w:tcW w:w="4536" w:type="dxa"/>
            <w:tcBorders>
              <w:top w:val="single" w:sz="4" w:space="0" w:color="auto"/>
              <w:bottom w:val="single" w:sz="12" w:space="0" w:color="auto"/>
            </w:tcBorders>
          </w:tcPr>
          <w:p w14:paraId="48BFFE92" w14:textId="77777777" w:rsidR="008D4248" w:rsidRPr="00201EE4" w:rsidRDefault="008D4248" w:rsidP="008D4248">
            <w:pPr>
              <w:jc w:val="both"/>
              <w:rPr>
                <w:rFonts w:ascii="Times New Roman" w:hAnsi="Times New Roman"/>
                <w:sz w:val="22"/>
                <w:szCs w:val="22"/>
              </w:rPr>
            </w:pPr>
            <w:r w:rsidRPr="00201EE4">
              <w:rPr>
                <w:rFonts w:ascii="Times New Roman" w:hAnsi="Times New Roman"/>
                <w:sz w:val="22"/>
                <w:szCs w:val="22"/>
              </w:rPr>
              <w:t>No se promueve que el estudiante valore la utilidad de las matemáticas en su vida diaria (trabajo poco realista)</w:t>
            </w:r>
          </w:p>
        </w:tc>
        <w:tc>
          <w:tcPr>
            <w:tcW w:w="714" w:type="dxa"/>
            <w:tcBorders>
              <w:top w:val="single" w:sz="4" w:space="0" w:color="auto"/>
              <w:bottom w:val="single" w:sz="12" w:space="0" w:color="auto"/>
            </w:tcBorders>
          </w:tcPr>
          <w:p w14:paraId="08960D52" w14:textId="77777777" w:rsidR="008D4248" w:rsidRPr="00201EE4" w:rsidRDefault="008D4248" w:rsidP="00AF58D1">
            <w:pPr>
              <w:jc w:val="center"/>
              <w:rPr>
                <w:rFonts w:ascii="Times New Roman" w:hAnsi="Times New Roman"/>
                <w:sz w:val="22"/>
                <w:szCs w:val="22"/>
              </w:rPr>
            </w:pPr>
            <w:r w:rsidRPr="00201EE4">
              <w:rPr>
                <w:rFonts w:ascii="Times New Roman" w:hAnsi="Times New Roman"/>
                <w:sz w:val="22"/>
                <w:szCs w:val="22"/>
              </w:rPr>
              <w:t>10</w:t>
            </w:r>
          </w:p>
        </w:tc>
      </w:tr>
    </w:tbl>
    <w:p w14:paraId="60C90462" w14:textId="77777777" w:rsidR="008D4248" w:rsidRPr="008D4248" w:rsidRDefault="008D4248" w:rsidP="008D4248">
      <w:pPr>
        <w:spacing w:after="120"/>
        <w:ind w:firstLine="709"/>
        <w:jc w:val="both"/>
        <w:rPr>
          <w:rFonts w:ascii="Times New Roman" w:eastAsia="Times New Roman" w:hAnsi="Times New Roman" w:cs="Times New Roman"/>
          <w:sz w:val="22"/>
          <w:szCs w:val="22"/>
          <w:lang w:val="la"/>
        </w:rPr>
      </w:pPr>
      <w:r w:rsidRPr="008D4248">
        <w:rPr>
          <w:rFonts w:ascii="Times New Roman" w:eastAsia="Times New Roman" w:hAnsi="Times New Roman" w:cs="Times New Roman"/>
          <w:sz w:val="22"/>
          <w:szCs w:val="22"/>
          <w:lang w:val="la"/>
        </w:rPr>
        <w:t xml:space="preserve">Los participantes consideran que en la lección debería prestarse más atención a los conocimientos previos necesarios para abordar con éxito el estudio. Por ejemplo, indican como MF12 que la lección “no recuerda los </w:t>
      </w:r>
      <w:r w:rsidRPr="008D4248">
        <w:rPr>
          <w:rFonts w:ascii="Times New Roman" w:eastAsia="Times New Roman" w:hAnsi="Times New Roman" w:cs="Times New Roman"/>
          <w:sz w:val="22"/>
          <w:szCs w:val="22"/>
          <w:lang w:val="la"/>
        </w:rPr>
        <w:lastRenderedPageBreak/>
        <w:t xml:space="preserve">conceptos de magnitud, unidad de medida, cantidad y valor numérico de las medidas; si el alumno no está familiarizado con estos conceptos puede ser que se cree un problema.” También señalan como limitación la falta de flexibilidad en la resolución de las situaciones-problema propuestas (“en casi ninguna ocasión se promueven estrategias diversas, por lo cual no hay apoyo individual", MF35). </w:t>
      </w:r>
    </w:p>
    <w:p w14:paraId="1ABA09BB" w14:textId="77777777" w:rsidR="008D4248" w:rsidRPr="008D4248" w:rsidRDefault="008D4248" w:rsidP="008D4248">
      <w:pPr>
        <w:spacing w:after="120"/>
        <w:ind w:firstLine="709"/>
        <w:jc w:val="both"/>
        <w:rPr>
          <w:rFonts w:ascii="Times New Roman" w:eastAsia="Times New Roman" w:hAnsi="Times New Roman" w:cs="Times New Roman"/>
          <w:sz w:val="22"/>
          <w:szCs w:val="22"/>
          <w:lang w:val="la"/>
        </w:rPr>
      </w:pPr>
      <w:bookmarkStart w:id="0" w:name="_Hlk106360858"/>
      <w:r w:rsidRPr="008D4248">
        <w:rPr>
          <w:rFonts w:ascii="Times New Roman" w:eastAsia="Times New Roman" w:hAnsi="Times New Roman" w:cs="Times New Roman"/>
          <w:sz w:val="22"/>
          <w:szCs w:val="22"/>
          <w:lang w:val="la"/>
        </w:rPr>
        <w:t xml:space="preserve">Con relación a la progresión en la dificultad, 15 participantes consideran que la dificultad es similar en las tareas. Su justificación se basa en que son actividades “todas del mismo tipo” sin llegar a contemplar los aspectos en relación con el contenido que influyen en la dificultad de las tareas, por ejemplo, la presencia de números enteros y no enteros, que no siempre se establezcan relaciones de divisibilidad entre las cantidades y que el orden de presentación de los datos en los problemas no sea siempre el mismo (Fernández y Llinares, 2011; Van Dooren, et al., 2009). </w:t>
      </w:r>
      <w:bookmarkEnd w:id="0"/>
      <w:r w:rsidRPr="008D4248">
        <w:rPr>
          <w:rFonts w:ascii="Times New Roman" w:eastAsia="Times New Roman" w:hAnsi="Times New Roman" w:cs="Times New Roman"/>
          <w:sz w:val="22"/>
          <w:szCs w:val="22"/>
          <w:lang w:val="la"/>
        </w:rPr>
        <w:t>También consideran conflictivo que no se advierta a los alumnos de posibles errores (“en ocasiones aparecen recuadros que recuerdan elementos importantes de los procesos a seguir, pero no contemplan otro tipo de errores o dificultades”, MF23; “no se habla de errores comunes o fallos que puedan cometerse para intentar evitarlos previamente y beneficiar al alumnado”, MF45) y lo sitúan junto a la particularización en la presentación por parte del autor de la relación de proporcionalidad y de los procedimientos de reducción a la unidad y regla de tres, como potencial uso de estrategias aditivas erróneas en algunas de las tareas propuestas. Por ejemplo, MF23 menciona que el alumno puede usar este tipo de estrategias en un problema de comparación (Problema 4 en Figura 4):</w:t>
      </w:r>
    </w:p>
    <w:p w14:paraId="6E141483" w14:textId="5784AC55" w:rsidR="008D4248" w:rsidRDefault="008D4248" w:rsidP="00582E69">
      <w:pPr>
        <w:spacing w:after="120"/>
        <w:ind w:left="1418"/>
        <w:jc w:val="both"/>
        <w:rPr>
          <w:rFonts w:ascii="Times New Roman" w:eastAsia="Times New Roman" w:hAnsi="Times New Roman" w:cs="Times New Roman"/>
          <w:sz w:val="22"/>
          <w:szCs w:val="22"/>
          <w:lang w:val="la"/>
        </w:rPr>
      </w:pPr>
      <w:r w:rsidRPr="00582E69">
        <w:rPr>
          <w:rFonts w:ascii="Times New Roman" w:eastAsia="Times New Roman" w:hAnsi="Times New Roman" w:cs="Times New Roman"/>
          <w:sz w:val="22"/>
          <w:szCs w:val="22"/>
          <w:lang w:val="la"/>
        </w:rPr>
        <w:t>Otro conflicto cognitivo, lo podemos encontrar en el ejercicio 4, debido a que el alumno se fijará en el número de errores que ha tenido cada niño, decantándose por el niño pequeño como mejor resultado obtenido, sin tener en cuenta la proporcionalidad de aciertos y errores (MF23).</w:t>
      </w:r>
    </w:p>
    <w:p w14:paraId="3CF3391F" w14:textId="3B7AA2A9" w:rsidR="007B7D68" w:rsidRDefault="007B7D68" w:rsidP="007B7D68">
      <w:pPr>
        <w:spacing w:after="120"/>
        <w:ind w:firstLine="709"/>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Figura </w:t>
      </w:r>
      <w:r>
        <w:rPr>
          <w:rFonts w:ascii="Times New Roman" w:eastAsia="Times New Roman" w:hAnsi="Times New Roman" w:cs="Times New Roman"/>
          <w:b/>
          <w:bCs/>
          <w:sz w:val="22"/>
          <w:szCs w:val="22"/>
        </w:rPr>
        <w:t>4</w:t>
      </w:r>
    </w:p>
    <w:p w14:paraId="59E32C4F" w14:textId="0A8C68B0" w:rsidR="007B7D68" w:rsidRPr="008D4248" w:rsidRDefault="007B7D68" w:rsidP="007B7D68">
      <w:pPr>
        <w:spacing w:after="120"/>
        <w:ind w:firstLine="709"/>
        <w:rPr>
          <w:rFonts w:ascii="Times New Roman" w:eastAsia="Times New Roman" w:hAnsi="Times New Roman" w:cs="Times New Roman"/>
          <w:i/>
          <w:iCs/>
          <w:sz w:val="22"/>
          <w:szCs w:val="22"/>
        </w:rPr>
      </w:pPr>
      <w:r w:rsidRPr="007B7D68">
        <w:rPr>
          <w:rFonts w:ascii="Times New Roman" w:eastAsia="Times New Roman" w:hAnsi="Times New Roman" w:cs="Times New Roman"/>
          <w:i/>
          <w:iCs/>
          <w:sz w:val="22"/>
          <w:szCs w:val="22"/>
        </w:rPr>
        <w:t>Tareas propuestas en González et al. (2015, p. 123)</w:t>
      </w:r>
    </w:p>
    <w:p w14:paraId="7541D929" w14:textId="73AE0A41" w:rsidR="008D4248" w:rsidRPr="007B7D68" w:rsidRDefault="007B7D68" w:rsidP="00090B23">
      <w:pPr>
        <w:spacing w:after="120"/>
        <w:jc w:val="both"/>
        <w:rPr>
          <w:rStyle w:val="markedcontent"/>
          <w:rFonts w:ascii="Times New Roman" w:eastAsia="Times New Roman" w:hAnsi="Times New Roman" w:cs="Times New Roman"/>
          <w:sz w:val="22"/>
          <w:szCs w:val="22"/>
        </w:rPr>
      </w:pPr>
      <w:r w:rsidRPr="00582E69">
        <w:rPr>
          <w:rStyle w:val="markedcontent"/>
          <w:rFonts w:ascii="Times New Roman" w:hAnsi="Times New Roman"/>
          <w:noProof/>
        </w:rPr>
        <w:drawing>
          <wp:inline distT="0" distB="0" distL="0" distR="0" wp14:anchorId="4EDCDA19" wp14:editId="16CD480C">
            <wp:extent cx="4387850" cy="761365"/>
            <wp:effectExtent l="19050" t="19050" r="12700" b="1968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2"/>
                    <a:stretch>
                      <a:fillRect/>
                    </a:stretch>
                  </pic:blipFill>
                  <pic:spPr>
                    <a:xfrm>
                      <a:off x="0" y="0"/>
                      <a:ext cx="4387850" cy="761365"/>
                    </a:xfrm>
                    <a:prstGeom prst="rect">
                      <a:avLst/>
                    </a:prstGeom>
                    <a:ln>
                      <a:solidFill>
                        <a:schemeClr val="tx1"/>
                      </a:solidFill>
                    </a:ln>
                  </pic:spPr>
                </pic:pic>
              </a:graphicData>
            </a:graphic>
          </wp:inline>
        </w:drawing>
      </w:r>
    </w:p>
    <w:p w14:paraId="7A3501D0" w14:textId="77777777" w:rsidR="008D4248" w:rsidRPr="00582E69" w:rsidRDefault="008D4248" w:rsidP="00582E69">
      <w:pPr>
        <w:spacing w:after="120"/>
        <w:ind w:firstLine="709"/>
        <w:jc w:val="both"/>
        <w:rPr>
          <w:rFonts w:ascii="Times New Roman" w:eastAsia="Times New Roman" w:hAnsi="Times New Roman" w:cs="Times New Roman"/>
          <w:sz w:val="22"/>
          <w:szCs w:val="22"/>
          <w:lang w:val="la"/>
        </w:rPr>
      </w:pPr>
      <w:r w:rsidRPr="00582E69">
        <w:rPr>
          <w:rFonts w:ascii="Times New Roman" w:eastAsia="Times New Roman" w:hAnsi="Times New Roman" w:cs="Times New Roman"/>
          <w:sz w:val="22"/>
          <w:szCs w:val="22"/>
          <w:lang w:val="la"/>
        </w:rPr>
        <w:lastRenderedPageBreak/>
        <w:t>También MF45 considera que el “no advertir los errores” junto a que no se explique “de forma adecuada, la naturaleza multiplicativa en las comparaciones entre magnitudes proporcionales”, puede derivar en el uso incorrecto de estrategias de tipo aditivas:</w:t>
      </w:r>
    </w:p>
    <w:p w14:paraId="5E937595" w14:textId="77777777" w:rsidR="008D4248" w:rsidRPr="00582E69" w:rsidRDefault="008D4248" w:rsidP="00582E69">
      <w:pPr>
        <w:spacing w:after="120"/>
        <w:ind w:left="1418"/>
        <w:jc w:val="both"/>
        <w:rPr>
          <w:rFonts w:ascii="Times New Roman" w:eastAsia="Times New Roman" w:hAnsi="Times New Roman" w:cs="Times New Roman"/>
          <w:sz w:val="22"/>
          <w:szCs w:val="22"/>
          <w:lang w:val="la"/>
        </w:rPr>
      </w:pPr>
      <w:r w:rsidRPr="00582E69">
        <w:rPr>
          <w:rFonts w:ascii="Times New Roman" w:eastAsia="Times New Roman" w:hAnsi="Times New Roman" w:cs="Times New Roman"/>
          <w:sz w:val="22"/>
          <w:szCs w:val="22"/>
          <w:lang w:val="la"/>
        </w:rPr>
        <w:t xml:space="preserve">Por otro lado, en el ejercicio 7, se presenta un conflicto cognitivo, debido a que [el alumno] vería la diferencia que hay entre 45cm y 15cm que serían 30cm y se lo sumaría a 10 cm, dando como resultado 40 cm o simplemente fijándose en los 30 cm y pondría ese resultado, pero sin asociar que es un problema de proporcionalidad. </w:t>
      </w:r>
    </w:p>
    <w:p w14:paraId="5A12BA0E" w14:textId="77777777" w:rsidR="008D4248" w:rsidRPr="00582E69" w:rsidRDefault="008D4248" w:rsidP="00582E69">
      <w:pPr>
        <w:spacing w:after="120"/>
        <w:ind w:firstLine="709"/>
        <w:jc w:val="both"/>
        <w:rPr>
          <w:rFonts w:ascii="Times New Roman" w:eastAsia="Times New Roman" w:hAnsi="Times New Roman" w:cs="Times New Roman"/>
          <w:sz w:val="22"/>
          <w:szCs w:val="22"/>
          <w:lang w:val="la"/>
        </w:rPr>
      </w:pPr>
      <w:r w:rsidRPr="00582E69">
        <w:rPr>
          <w:rFonts w:ascii="Times New Roman" w:eastAsia="Times New Roman" w:hAnsi="Times New Roman" w:cs="Times New Roman"/>
          <w:sz w:val="22"/>
          <w:szCs w:val="22"/>
          <w:lang w:val="la"/>
        </w:rPr>
        <w:t>Además, gran parte de los MF indican la falta de tareas de autoevaluación o que el uso como actividades evaluativas por parte del docente de los problemas de la lección, no permitiría medir correctamente la adquisición de conocimientos y competencias matemáticas. Finalmente mencionan el carácter rígido de la lección (“se centran en un solo método de resolución sin dar cabida a la flexibilidad, no hay ejercicios en los que se permita a los alumnos indagar ni explorar métodos nuevos” MF7) y que no ofrece a los alumnos la posibilidad de valorar la utilidad de las matemáticas:</w:t>
      </w:r>
    </w:p>
    <w:p w14:paraId="1B789EA1" w14:textId="67944897" w:rsidR="008D4248" w:rsidRDefault="008D4248" w:rsidP="00582E69">
      <w:pPr>
        <w:spacing w:after="120"/>
        <w:ind w:left="1418"/>
        <w:jc w:val="both"/>
        <w:rPr>
          <w:rFonts w:ascii="Times New Roman" w:eastAsia="Times New Roman" w:hAnsi="Times New Roman" w:cs="Times New Roman"/>
          <w:sz w:val="22"/>
          <w:szCs w:val="22"/>
          <w:lang w:val="la"/>
        </w:rPr>
      </w:pPr>
      <w:r w:rsidRPr="00582E69">
        <w:rPr>
          <w:rFonts w:ascii="Times New Roman" w:eastAsia="Times New Roman" w:hAnsi="Times New Roman" w:cs="Times New Roman"/>
          <w:sz w:val="22"/>
          <w:szCs w:val="22"/>
          <w:lang w:val="la"/>
        </w:rPr>
        <w:t>Se explica los mecanismos a seguir para realizar el procedimiento de reducción a la unidad y la regla de tres, pero no va más allá no se explica la utilidad de estos. No se crea en los alumnos la necesidad de utilizarlos en otro contexto o en su vida real (MF33).</w:t>
      </w:r>
    </w:p>
    <w:p w14:paraId="43225126" w14:textId="77777777" w:rsidR="00B81C6C" w:rsidRPr="00582E69" w:rsidRDefault="00B81C6C" w:rsidP="00B81C6C">
      <w:pPr>
        <w:spacing w:after="120"/>
        <w:ind w:firstLine="709"/>
        <w:jc w:val="both"/>
        <w:rPr>
          <w:rFonts w:ascii="Times New Roman" w:eastAsia="Times New Roman" w:hAnsi="Times New Roman" w:cs="Times New Roman"/>
          <w:sz w:val="22"/>
          <w:szCs w:val="22"/>
          <w:lang w:val="la"/>
        </w:rPr>
      </w:pPr>
      <w:r w:rsidRPr="00582E69">
        <w:rPr>
          <w:rFonts w:ascii="Times New Roman" w:eastAsia="Times New Roman" w:hAnsi="Times New Roman" w:cs="Times New Roman"/>
          <w:sz w:val="22"/>
          <w:szCs w:val="22"/>
          <w:lang w:val="la"/>
        </w:rPr>
        <w:t>Como se observa en la tabla 3, entre los principales conflictos instruccionales identificando por los participantes destacan las carencias en las componentes interaccionales y la escasa propuesta de recursos materiales en la lección.  De manera similar a MF23, los participantes consideran que:</w:t>
      </w:r>
    </w:p>
    <w:p w14:paraId="16900981" w14:textId="77777777" w:rsidR="00B81C6C" w:rsidRPr="00582E69" w:rsidRDefault="00B81C6C" w:rsidP="00B81C6C">
      <w:pPr>
        <w:spacing w:after="120"/>
        <w:ind w:left="1418"/>
        <w:jc w:val="both"/>
        <w:rPr>
          <w:rFonts w:ascii="Times New Roman" w:eastAsia="Times New Roman" w:hAnsi="Times New Roman" w:cs="Times New Roman"/>
          <w:sz w:val="22"/>
          <w:szCs w:val="22"/>
          <w:lang w:val="la"/>
        </w:rPr>
      </w:pPr>
      <w:r w:rsidRPr="00582E69">
        <w:rPr>
          <w:rFonts w:ascii="Times New Roman" w:eastAsia="Times New Roman" w:hAnsi="Times New Roman" w:cs="Times New Roman"/>
          <w:sz w:val="22"/>
          <w:szCs w:val="22"/>
          <w:lang w:val="la"/>
        </w:rPr>
        <w:t>El autor no subraya conceptos clave como simetría de la relación de proporcionalidad, la constante de proporcionalidad, diferencia entre situación de proporcionalidad, procedimientos para resolver las situaciones y sistemas de representación empleados, y el porcentaje como expresión de proporciones. No se enfatiza ni se insiste en dialogar entre compañeros para poner puestas en común. A penas se promueve el uso de materiales manipulativos.</w:t>
      </w:r>
    </w:p>
    <w:p w14:paraId="3EB1B966" w14:textId="2EC96684" w:rsidR="00B81C6C" w:rsidRDefault="00B81C6C" w:rsidP="00582E69">
      <w:pPr>
        <w:spacing w:after="120"/>
        <w:ind w:left="1418"/>
        <w:jc w:val="both"/>
        <w:rPr>
          <w:rFonts w:ascii="Times New Roman" w:eastAsia="Times New Roman" w:hAnsi="Times New Roman" w:cs="Times New Roman"/>
          <w:sz w:val="22"/>
          <w:szCs w:val="22"/>
          <w:lang w:val="la"/>
        </w:rPr>
      </w:pPr>
    </w:p>
    <w:p w14:paraId="7F6EA8D2" w14:textId="77777777" w:rsidR="00B81C6C" w:rsidRDefault="00B81C6C" w:rsidP="00582E69">
      <w:pPr>
        <w:spacing w:after="120"/>
        <w:ind w:left="1418"/>
        <w:jc w:val="both"/>
        <w:rPr>
          <w:rFonts w:ascii="Times New Roman" w:eastAsia="Times New Roman" w:hAnsi="Times New Roman" w:cs="Times New Roman"/>
          <w:sz w:val="22"/>
          <w:szCs w:val="22"/>
          <w:lang w:val="la"/>
        </w:rPr>
      </w:pPr>
    </w:p>
    <w:p w14:paraId="2E4EB752" w14:textId="744C1B87" w:rsidR="00A22C6B" w:rsidRPr="008D4248" w:rsidRDefault="00A22C6B" w:rsidP="00A22C6B">
      <w:pPr>
        <w:keepNext/>
        <w:spacing w:after="120"/>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Tabla </w:t>
      </w:r>
      <w:r>
        <w:rPr>
          <w:rFonts w:ascii="Times New Roman" w:eastAsia="Times New Roman" w:hAnsi="Times New Roman" w:cs="Times New Roman"/>
          <w:b/>
          <w:bCs/>
          <w:sz w:val="22"/>
          <w:szCs w:val="22"/>
        </w:rPr>
        <w:t>3</w:t>
      </w:r>
    </w:p>
    <w:p w14:paraId="7D6A3D68" w14:textId="0D42C7F0" w:rsidR="008D4248" w:rsidRPr="00A22C6B" w:rsidRDefault="008D4248" w:rsidP="00A22C6B">
      <w:pPr>
        <w:spacing w:after="120"/>
        <w:rPr>
          <w:rFonts w:ascii="Times New Roman" w:eastAsia="Times New Roman" w:hAnsi="Times New Roman" w:cs="Times New Roman"/>
          <w:i/>
          <w:iCs/>
          <w:sz w:val="22"/>
          <w:szCs w:val="22"/>
        </w:rPr>
      </w:pPr>
      <w:r w:rsidRPr="00A22C6B">
        <w:rPr>
          <w:rFonts w:ascii="Times New Roman" w:eastAsia="Times New Roman" w:hAnsi="Times New Roman" w:cs="Times New Roman"/>
          <w:i/>
          <w:iCs/>
          <w:sz w:val="22"/>
          <w:szCs w:val="22"/>
        </w:rPr>
        <w:t>Conflictos instruccionales identificados por los MF y frecuencia (</w:t>
      </w:r>
      <w:proofErr w:type="spellStart"/>
      <w:r w:rsidRPr="00A22C6B">
        <w:rPr>
          <w:rFonts w:ascii="Times New Roman" w:eastAsia="Times New Roman" w:hAnsi="Times New Roman" w:cs="Times New Roman"/>
          <w:i/>
          <w:iCs/>
          <w:sz w:val="22"/>
          <w:szCs w:val="22"/>
        </w:rPr>
        <w:t>Frec</w:t>
      </w:r>
      <w:proofErr w:type="spellEnd"/>
      <w:r w:rsidRPr="00A22C6B">
        <w:rPr>
          <w:rFonts w:ascii="Times New Roman" w:eastAsia="Times New Roman" w:hAnsi="Times New Roman" w:cs="Times New Roman"/>
          <w:i/>
          <w:iCs/>
          <w:sz w:val="22"/>
          <w:szCs w:val="22"/>
        </w:rPr>
        <w:t>.)</w:t>
      </w:r>
    </w:p>
    <w:tbl>
      <w:tblPr>
        <w:tblStyle w:val="Tablaconcuadrcula"/>
        <w:tblW w:w="6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4677"/>
        <w:gridCol w:w="708"/>
      </w:tblGrid>
      <w:tr w:rsidR="008D4248" w:rsidRPr="00582E69" w14:paraId="54A99532" w14:textId="77777777" w:rsidTr="00A22C6B">
        <w:trPr>
          <w:trHeight w:val="166"/>
        </w:trPr>
        <w:tc>
          <w:tcPr>
            <w:tcW w:w="1560" w:type="dxa"/>
            <w:tcBorders>
              <w:top w:val="single" w:sz="12" w:space="0" w:color="auto"/>
              <w:bottom w:val="double" w:sz="4" w:space="0" w:color="auto"/>
            </w:tcBorders>
          </w:tcPr>
          <w:p w14:paraId="6FC2C473"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Componente</w:t>
            </w:r>
          </w:p>
        </w:tc>
        <w:tc>
          <w:tcPr>
            <w:tcW w:w="4677" w:type="dxa"/>
            <w:tcBorders>
              <w:top w:val="single" w:sz="12" w:space="0" w:color="auto"/>
              <w:bottom w:val="double" w:sz="4" w:space="0" w:color="auto"/>
            </w:tcBorders>
          </w:tcPr>
          <w:p w14:paraId="1DF771C8" w14:textId="77777777" w:rsidR="008D4248" w:rsidRPr="00582E69" w:rsidRDefault="008D4248" w:rsidP="00AF58D1">
            <w:pPr>
              <w:jc w:val="center"/>
              <w:rPr>
                <w:rFonts w:ascii="Times New Roman" w:hAnsi="Times New Roman" w:cs="Times New Roman"/>
                <w:sz w:val="22"/>
                <w:szCs w:val="22"/>
              </w:rPr>
            </w:pPr>
            <w:r w:rsidRPr="00582E69">
              <w:rPr>
                <w:rFonts w:ascii="Times New Roman" w:hAnsi="Times New Roman" w:cs="Times New Roman"/>
                <w:sz w:val="22"/>
                <w:szCs w:val="22"/>
              </w:rPr>
              <w:t>Descriptor del conflicto</w:t>
            </w:r>
          </w:p>
        </w:tc>
        <w:tc>
          <w:tcPr>
            <w:tcW w:w="708" w:type="dxa"/>
            <w:tcBorders>
              <w:top w:val="single" w:sz="12" w:space="0" w:color="auto"/>
              <w:bottom w:val="double" w:sz="4" w:space="0" w:color="auto"/>
            </w:tcBorders>
          </w:tcPr>
          <w:p w14:paraId="38D4BED4" w14:textId="77777777" w:rsidR="008D4248" w:rsidRPr="00582E69" w:rsidRDefault="008D4248" w:rsidP="00AF58D1">
            <w:pPr>
              <w:jc w:val="center"/>
              <w:rPr>
                <w:rFonts w:ascii="Times New Roman" w:hAnsi="Times New Roman" w:cs="Times New Roman"/>
                <w:sz w:val="22"/>
                <w:szCs w:val="22"/>
              </w:rPr>
            </w:pPr>
            <w:proofErr w:type="spellStart"/>
            <w:r w:rsidRPr="00582E69">
              <w:rPr>
                <w:rFonts w:ascii="Times New Roman" w:hAnsi="Times New Roman" w:cs="Times New Roman"/>
                <w:sz w:val="22"/>
                <w:szCs w:val="22"/>
              </w:rPr>
              <w:t>Frec</w:t>
            </w:r>
            <w:proofErr w:type="spellEnd"/>
            <w:r w:rsidRPr="00582E69">
              <w:rPr>
                <w:rFonts w:ascii="Times New Roman" w:hAnsi="Times New Roman" w:cs="Times New Roman"/>
                <w:sz w:val="22"/>
                <w:szCs w:val="22"/>
              </w:rPr>
              <w:t>.</w:t>
            </w:r>
          </w:p>
        </w:tc>
      </w:tr>
      <w:tr w:rsidR="008D4248" w:rsidRPr="00582E69" w14:paraId="27B82E5F" w14:textId="77777777" w:rsidTr="00A22C6B">
        <w:trPr>
          <w:trHeight w:val="511"/>
        </w:trPr>
        <w:tc>
          <w:tcPr>
            <w:tcW w:w="1560" w:type="dxa"/>
            <w:vMerge w:val="restart"/>
            <w:tcBorders>
              <w:top w:val="double" w:sz="4" w:space="0" w:color="auto"/>
            </w:tcBorders>
          </w:tcPr>
          <w:p w14:paraId="08CD7243"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Interacción autor</w:t>
            </w:r>
            <m:oMath>
              <m:box>
                <m:boxPr>
                  <m:opEmu m:val="1"/>
                  <m:ctrlPr>
                    <w:rPr>
                      <w:rFonts w:ascii="Cambria Math" w:hAnsi="Cambria Math" w:cs="Times New Roman"/>
                      <w:i/>
                      <w:sz w:val="22"/>
                      <w:szCs w:val="22"/>
                    </w:rPr>
                  </m:ctrlPr>
                </m:boxPr>
                <m:e>
                  <m:groupChr>
                    <m:groupChrPr>
                      <m:chr m:val="→"/>
                      <m:vertJc m:val="bot"/>
                      <m:ctrlPr>
                        <w:rPr>
                          <w:rFonts w:ascii="Cambria Math" w:hAnsi="Cambria Math" w:cs="Times New Roman"/>
                          <w:i/>
                          <w:sz w:val="22"/>
                          <w:szCs w:val="22"/>
                        </w:rPr>
                      </m:ctrlPr>
                    </m:groupChrPr>
                    <m:e>
                      <m:r>
                        <w:rPr>
                          <w:rFonts w:ascii="Cambria Math" w:hAnsi="Cambria Math" w:cs="Times New Roman"/>
                          <w:sz w:val="22"/>
                          <w:szCs w:val="22"/>
                        </w:rPr>
                        <m:t xml:space="preserve"> </m:t>
                      </m:r>
                    </m:e>
                  </m:groupChr>
                </m:e>
              </m:box>
            </m:oMath>
            <w:r w:rsidRPr="00582E69">
              <w:rPr>
                <w:rFonts w:ascii="Times New Roman" w:hAnsi="Times New Roman" w:cs="Times New Roman"/>
                <w:sz w:val="22"/>
                <w:szCs w:val="22"/>
              </w:rPr>
              <w:t>alumno</w:t>
            </w:r>
          </w:p>
        </w:tc>
        <w:tc>
          <w:tcPr>
            <w:tcW w:w="4677" w:type="dxa"/>
            <w:tcBorders>
              <w:top w:val="double" w:sz="4" w:space="0" w:color="auto"/>
            </w:tcBorders>
          </w:tcPr>
          <w:p w14:paraId="4CA538AD"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La presentación del contenido por parte del autor no es clara ni está bien organizada</w:t>
            </w:r>
          </w:p>
        </w:tc>
        <w:tc>
          <w:tcPr>
            <w:tcW w:w="708" w:type="dxa"/>
            <w:tcBorders>
              <w:top w:val="double" w:sz="4" w:space="0" w:color="auto"/>
            </w:tcBorders>
          </w:tcPr>
          <w:p w14:paraId="797C117F"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22</w:t>
            </w:r>
          </w:p>
        </w:tc>
      </w:tr>
      <w:tr w:rsidR="008D4248" w:rsidRPr="00582E69" w14:paraId="47B83EE4" w14:textId="77777777" w:rsidTr="00A22C6B">
        <w:trPr>
          <w:trHeight w:val="516"/>
        </w:trPr>
        <w:tc>
          <w:tcPr>
            <w:tcW w:w="1560" w:type="dxa"/>
            <w:vMerge/>
          </w:tcPr>
          <w:p w14:paraId="5FD7C874" w14:textId="77777777" w:rsidR="008D4248" w:rsidRPr="00582E69" w:rsidRDefault="008D4248" w:rsidP="00AF58D1">
            <w:pPr>
              <w:rPr>
                <w:rFonts w:ascii="Times New Roman" w:hAnsi="Times New Roman" w:cs="Times New Roman"/>
                <w:sz w:val="22"/>
                <w:szCs w:val="22"/>
              </w:rPr>
            </w:pPr>
          </w:p>
        </w:tc>
        <w:tc>
          <w:tcPr>
            <w:tcW w:w="4677" w:type="dxa"/>
            <w:tcBorders>
              <w:top w:val="single" w:sz="4" w:space="0" w:color="auto"/>
            </w:tcBorders>
          </w:tcPr>
          <w:p w14:paraId="7431F117"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No se promueven situaciones donde se busque consenso en base al mejor argumento</w:t>
            </w:r>
          </w:p>
        </w:tc>
        <w:tc>
          <w:tcPr>
            <w:tcW w:w="708" w:type="dxa"/>
            <w:tcBorders>
              <w:top w:val="single" w:sz="4" w:space="0" w:color="auto"/>
              <w:bottom w:val="nil"/>
            </w:tcBorders>
          </w:tcPr>
          <w:p w14:paraId="3AFAEF39"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26</w:t>
            </w:r>
          </w:p>
        </w:tc>
      </w:tr>
      <w:tr w:rsidR="008D4248" w:rsidRPr="00582E69" w14:paraId="2D258527" w14:textId="77777777" w:rsidTr="00A22C6B">
        <w:trPr>
          <w:trHeight w:val="345"/>
        </w:trPr>
        <w:tc>
          <w:tcPr>
            <w:tcW w:w="1560" w:type="dxa"/>
            <w:vMerge/>
          </w:tcPr>
          <w:p w14:paraId="02517ADD" w14:textId="77777777" w:rsidR="008D4248" w:rsidRPr="00582E69" w:rsidRDefault="008D4248" w:rsidP="00AF58D1">
            <w:pPr>
              <w:rPr>
                <w:rFonts w:ascii="Times New Roman" w:hAnsi="Times New Roman" w:cs="Times New Roman"/>
                <w:sz w:val="22"/>
                <w:szCs w:val="22"/>
              </w:rPr>
            </w:pPr>
          </w:p>
        </w:tc>
        <w:tc>
          <w:tcPr>
            <w:tcW w:w="4677" w:type="dxa"/>
            <w:tcBorders>
              <w:top w:val="single" w:sz="4" w:space="0" w:color="auto"/>
              <w:bottom w:val="single" w:sz="4" w:space="0" w:color="FFFFFF" w:themeColor="background1"/>
            </w:tcBorders>
          </w:tcPr>
          <w:p w14:paraId="0AE30F16"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No se usan diversos recursos argumentativos para implicar al estudiante</w:t>
            </w:r>
          </w:p>
        </w:tc>
        <w:tc>
          <w:tcPr>
            <w:tcW w:w="708" w:type="dxa"/>
            <w:tcBorders>
              <w:top w:val="single" w:sz="4" w:space="0" w:color="auto"/>
              <w:bottom w:val="single" w:sz="4" w:space="0" w:color="FFFFFF" w:themeColor="background1"/>
            </w:tcBorders>
          </w:tcPr>
          <w:p w14:paraId="43C66535"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18</w:t>
            </w:r>
          </w:p>
        </w:tc>
      </w:tr>
      <w:tr w:rsidR="008D4248" w:rsidRPr="00582E69" w14:paraId="2FD158F2" w14:textId="77777777" w:rsidTr="00A22C6B">
        <w:trPr>
          <w:trHeight w:val="345"/>
        </w:trPr>
        <w:tc>
          <w:tcPr>
            <w:tcW w:w="1560" w:type="dxa"/>
            <w:tcBorders>
              <w:top w:val="single" w:sz="4" w:space="0" w:color="auto"/>
            </w:tcBorders>
          </w:tcPr>
          <w:p w14:paraId="1371EABC"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 xml:space="preserve">Interacción entre alumnos </w:t>
            </w:r>
          </w:p>
        </w:tc>
        <w:tc>
          <w:tcPr>
            <w:tcW w:w="4677" w:type="dxa"/>
            <w:tcBorders>
              <w:top w:val="single" w:sz="4" w:space="0" w:color="auto"/>
              <w:bottom w:val="single" w:sz="4" w:space="0" w:color="FFFFFF" w:themeColor="background1"/>
            </w:tcBorders>
          </w:tcPr>
          <w:p w14:paraId="1446DF4E"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Las tareas no favorecen un diálogo entre estudiantes donde cuestionen y argumenten sobre diferentes puntos de vista</w:t>
            </w:r>
          </w:p>
        </w:tc>
        <w:tc>
          <w:tcPr>
            <w:tcW w:w="708" w:type="dxa"/>
            <w:tcBorders>
              <w:top w:val="single" w:sz="4" w:space="0" w:color="auto"/>
              <w:bottom w:val="single" w:sz="4" w:space="0" w:color="FFFFFF" w:themeColor="background1"/>
            </w:tcBorders>
          </w:tcPr>
          <w:p w14:paraId="7DF15EDE"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26</w:t>
            </w:r>
          </w:p>
        </w:tc>
      </w:tr>
      <w:tr w:rsidR="008D4248" w:rsidRPr="00582E69" w14:paraId="74612F7B" w14:textId="77777777" w:rsidTr="00A22C6B">
        <w:trPr>
          <w:trHeight w:val="345"/>
        </w:trPr>
        <w:tc>
          <w:tcPr>
            <w:tcW w:w="1560" w:type="dxa"/>
            <w:vMerge w:val="restart"/>
            <w:tcBorders>
              <w:top w:val="single" w:sz="4" w:space="0" w:color="auto"/>
            </w:tcBorders>
          </w:tcPr>
          <w:p w14:paraId="0D4DFDC8"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Autonomía</w:t>
            </w:r>
          </w:p>
        </w:tc>
        <w:tc>
          <w:tcPr>
            <w:tcW w:w="4677" w:type="dxa"/>
            <w:vMerge w:val="restart"/>
            <w:tcBorders>
              <w:top w:val="single" w:sz="4" w:space="0" w:color="auto"/>
            </w:tcBorders>
          </w:tcPr>
          <w:p w14:paraId="040D882C"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No se plantean momentos para que los estudiantes asuman la responsabilidad del estudio</w:t>
            </w:r>
          </w:p>
        </w:tc>
        <w:tc>
          <w:tcPr>
            <w:tcW w:w="708" w:type="dxa"/>
            <w:tcBorders>
              <w:top w:val="single" w:sz="4" w:space="0" w:color="auto"/>
              <w:bottom w:val="single" w:sz="4" w:space="0" w:color="FFFFFF" w:themeColor="background1"/>
            </w:tcBorders>
          </w:tcPr>
          <w:p w14:paraId="162DC166"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11</w:t>
            </w:r>
          </w:p>
        </w:tc>
      </w:tr>
      <w:tr w:rsidR="008D4248" w:rsidRPr="00582E69" w14:paraId="6E3CC7BC" w14:textId="77777777" w:rsidTr="00A22C6B">
        <w:tc>
          <w:tcPr>
            <w:tcW w:w="1560" w:type="dxa"/>
            <w:vMerge/>
            <w:tcBorders>
              <w:bottom w:val="single" w:sz="4" w:space="0" w:color="auto"/>
            </w:tcBorders>
          </w:tcPr>
          <w:p w14:paraId="4F67822F" w14:textId="77777777" w:rsidR="008D4248" w:rsidRPr="00582E69" w:rsidRDefault="008D4248" w:rsidP="00AF58D1">
            <w:pPr>
              <w:rPr>
                <w:rFonts w:ascii="Times New Roman" w:hAnsi="Times New Roman" w:cs="Times New Roman"/>
                <w:sz w:val="22"/>
                <w:szCs w:val="22"/>
              </w:rPr>
            </w:pPr>
          </w:p>
        </w:tc>
        <w:tc>
          <w:tcPr>
            <w:tcW w:w="4677" w:type="dxa"/>
            <w:vMerge/>
            <w:tcBorders>
              <w:bottom w:val="single" w:sz="4" w:space="0" w:color="auto"/>
            </w:tcBorders>
          </w:tcPr>
          <w:p w14:paraId="50FA32B2" w14:textId="77777777" w:rsidR="008D4248" w:rsidRPr="00582E69" w:rsidRDefault="008D4248" w:rsidP="00AF58D1">
            <w:pPr>
              <w:rPr>
                <w:rFonts w:ascii="Times New Roman" w:hAnsi="Times New Roman" w:cs="Times New Roman"/>
                <w:sz w:val="22"/>
                <w:szCs w:val="22"/>
              </w:rPr>
            </w:pPr>
          </w:p>
        </w:tc>
        <w:tc>
          <w:tcPr>
            <w:tcW w:w="708" w:type="dxa"/>
            <w:tcBorders>
              <w:top w:val="single" w:sz="4" w:space="0" w:color="FFFFFF" w:themeColor="background1"/>
              <w:bottom w:val="single" w:sz="4" w:space="0" w:color="auto"/>
            </w:tcBorders>
          </w:tcPr>
          <w:p w14:paraId="2977A68A" w14:textId="77777777" w:rsidR="008D4248" w:rsidRPr="00582E69" w:rsidRDefault="008D4248" w:rsidP="00AF58D1">
            <w:pPr>
              <w:rPr>
                <w:rFonts w:ascii="Times New Roman" w:hAnsi="Times New Roman" w:cs="Times New Roman"/>
                <w:sz w:val="22"/>
                <w:szCs w:val="22"/>
              </w:rPr>
            </w:pPr>
          </w:p>
        </w:tc>
      </w:tr>
      <w:tr w:rsidR="008D4248" w:rsidRPr="00582E69" w14:paraId="42565606" w14:textId="77777777" w:rsidTr="00A22C6B">
        <w:tc>
          <w:tcPr>
            <w:tcW w:w="1560" w:type="dxa"/>
            <w:tcBorders>
              <w:top w:val="single" w:sz="4" w:space="0" w:color="auto"/>
              <w:bottom w:val="single" w:sz="4" w:space="0" w:color="auto"/>
            </w:tcBorders>
          </w:tcPr>
          <w:p w14:paraId="2CC75BB4"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Recursos materiales</w:t>
            </w:r>
          </w:p>
        </w:tc>
        <w:tc>
          <w:tcPr>
            <w:tcW w:w="4677" w:type="dxa"/>
            <w:tcBorders>
              <w:top w:val="single" w:sz="4" w:space="0" w:color="auto"/>
              <w:bottom w:val="single" w:sz="4" w:space="0" w:color="auto"/>
            </w:tcBorders>
          </w:tcPr>
          <w:p w14:paraId="7715CB26"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No se promueve el uso de materiales manipulativos para el estudio de la proporcionalidad (escalímetro, pantógrafo, compás de proporción, Geogebra...)</w:t>
            </w:r>
          </w:p>
        </w:tc>
        <w:tc>
          <w:tcPr>
            <w:tcW w:w="708" w:type="dxa"/>
            <w:tcBorders>
              <w:top w:val="single" w:sz="4" w:space="0" w:color="auto"/>
              <w:bottom w:val="single" w:sz="4" w:space="0" w:color="auto"/>
            </w:tcBorders>
          </w:tcPr>
          <w:p w14:paraId="1A1F6AF1"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37</w:t>
            </w:r>
          </w:p>
        </w:tc>
      </w:tr>
      <w:tr w:rsidR="008D4248" w:rsidRPr="00582E69" w14:paraId="19B78F2D" w14:textId="77777777" w:rsidTr="00A22C6B">
        <w:tc>
          <w:tcPr>
            <w:tcW w:w="1560" w:type="dxa"/>
            <w:tcBorders>
              <w:top w:val="single" w:sz="4" w:space="0" w:color="auto"/>
              <w:bottom w:val="single" w:sz="12" w:space="0" w:color="auto"/>
            </w:tcBorders>
          </w:tcPr>
          <w:p w14:paraId="052F000C"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Secuenciación</w:t>
            </w:r>
          </w:p>
        </w:tc>
        <w:tc>
          <w:tcPr>
            <w:tcW w:w="4677" w:type="dxa"/>
            <w:tcBorders>
              <w:top w:val="single" w:sz="4" w:space="0" w:color="auto"/>
              <w:bottom w:val="single" w:sz="12" w:space="0" w:color="auto"/>
            </w:tcBorders>
          </w:tcPr>
          <w:p w14:paraId="772173FE"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La secuenciación de contenidos y actividades no es adecuada y no se reserva espacio suficiente a los contenidos más complejos</w:t>
            </w:r>
          </w:p>
        </w:tc>
        <w:tc>
          <w:tcPr>
            <w:tcW w:w="708" w:type="dxa"/>
            <w:tcBorders>
              <w:top w:val="single" w:sz="4" w:space="0" w:color="auto"/>
              <w:bottom w:val="single" w:sz="12" w:space="0" w:color="auto"/>
            </w:tcBorders>
          </w:tcPr>
          <w:p w14:paraId="596BDAD9" w14:textId="77777777" w:rsidR="008D4248" w:rsidRPr="00582E69" w:rsidRDefault="008D4248" w:rsidP="00AF58D1">
            <w:pPr>
              <w:rPr>
                <w:rFonts w:ascii="Times New Roman" w:hAnsi="Times New Roman" w:cs="Times New Roman"/>
                <w:sz w:val="22"/>
                <w:szCs w:val="22"/>
              </w:rPr>
            </w:pPr>
            <w:r w:rsidRPr="00582E69">
              <w:rPr>
                <w:rFonts w:ascii="Times New Roman" w:hAnsi="Times New Roman" w:cs="Times New Roman"/>
                <w:sz w:val="22"/>
                <w:szCs w:val="22"/>
              </w:rPr>
              <w:t>15</w:t>
            </w:r>
          </w:p>
        </w:tc>
      </w:tr>
    </w:tbl>
    <w:p w14:paraId="4B972AE7" w14:textId="77777777" w:rsidR="008D4248" w:rsidRPr="00582E69" w:rsidRDefault="008D4248" w:rsidP="00582E69">
      <w:pPr>
        <w:spacing w:after="120"/>
        <w:ind w:firstLine="709"/>
        <w:jc w:val="both"/>
        <w:rPr>
          <w:rFonts w:ascii="Times New Roman" w:eastAsia="Times New Roman" w:hAnsi="Times New Roman" w:cs="Times New Roman"/>
          <w:sz w:val="22"/>
          <w:szCs w:val="22"/>
          <w:lang w:val="la"/>
        </w:rPr>
      </w:pPr>
      <w:r w:rsidRPr="00582E69">
        <w:rPr>
          <w:rFonts w:ascii="Times New Roman" w:eastAsia="Times New Roman" w:hAnsi="Times New Roman" w:cs="Times New Roman"/>
          <w:sz w:val="22"/>
          <w:szCs w:val="22"/>
          <w:lang w:val="la"/>
        </w:rPr>
        <w:t xml:space="preserve">En relación con la secuencia, también plantean que esta no es la adecuada. Fundamentalmente consideran que no se atiende a la progresión en los diversos significados de la proporcionalidad, que no se han incorporado otros procedimientos antes de incluir la regla de tres y que contenidos como las escalas requieren de una mayor explicación. Por ejemplo, </w:t>
      </w:r>
    </w:p>
    <w:p w14:paraId="0155CBBE" w14:textId="31962AC7" w:rsidR="008D4248" w:rsidRDefault="008D4248" w:rsidP="00582E69">
      <w:pPr>
        <w:spacing w:after="120"/>
        <w:ind w:left="1418"/>
        <w:jc w:val="both"/>
        <w:rPr>
          <w:rFonts w:ascii="Times New Roman" w:eastAsia="Times New Roman" w:hAnsi="Times New Roman" w:cs="Times New Roman"/>
          <w:sz w:val="22"/>
          <w:szCs w:val="22"/>
          <w:lang w:val="la"/>
        </w:rPr>
      </w:pPr>
      <w:r w:rsidRPr="00582E69">
        <w:rPr>
          <w:rFonts w:ascii="Times New Roman" w:eastAsia="Times New Roman" w:hAnsi="Times New Roman" w:cs="Times New Roman"/>
          <w:sz w:val="22"/>
          <w:szCs w:val="22"/>
          <w:lang w:val="la"/>
        </w:rPr>
        <w:t>La secuencia no es la mejor ya que se debería de haber explicado la proporcionalidad con experiencias intuitivas referentes a la estimación, la regla de tres debería de haberse explicado al final de todo, una vez que los alumnos adquieran la experiencia suficiente en este tema. No se le ha dedicado suficiente espacio al contenido de escalas que puede ser más complejo para ellos (MF13).</w:t>
      </w:r>
    </w:p>
    <w:p w14:paraId="6E517F0F" w14:textId="6968A8B4" w:rsidR="00E64554" w:rsidRPr="00CD3E5A" w:rsidRDefault="00090B23" w:rsidP="00E64554">
      <w:pPr>
        <w:spacing w:line="360" w:lineRule="auto"/>
        <w:ind w:firstLine="709"/>
        <w:jc w:val="both"/>
        <w:rPr>
          <w:rFonts w:ascii="Times New Roman" w:eastAsia="Times New Roman" w:hAnsi="Times New Roman" w:cs="Times New Roman"/>
          <w:b/>
          <w:bCs/>
          <w:sz w:val="22"/>
          <w:szCs w:val="22"/>
        </w:rPr>
      </w:pPr>
      <w:r w:rsidRPr="00090B23">
        <w:rPr>
          <w:rFonts w:ascii="Times New Roman" w:eastAsia="Times New Roman" w:hAnsi="Times New Roman" w:cs="Times New Roman"/>
          <w:b/>
          <w:bCs/>
          <w:sz w:val="22"/>
          <w:szCs w:val="22"/>
        </w:rPr>
        <w:t>Propuesta de mejora y solución a conflictos</w:t>
      </w:r>
    </w:p>
    <w:p w14:paraId="3A221C89" w14:textId="77777777" w:rsidR="00090B23" w:rsidRDefault="00090B23" w:rsidP="00090B23">
      <w:pPr>
        <w:spacing w:after="120"/>
        <w:ind w:firstLine="709"/>
        <w:jc w:val="both"/>
      </w:pPr>
      <w:r w:rsidRPr="00090B23">
        <w:rPr>
          <w:rFonts w:ascii="Times New Roman" w:eastAsia="Times New Roman" w:hAnsi="Times New Roman" w:cs="Times New Roman"/>
          <w:sz w:val="22"/>
          <w:szCs w:val="22"/>
        </w:rPr>
        <w:lastRenderedPageBreak/>
        <w:t>Además de la identificación de carencias, la toma de decisiones sobre el uso de los materiales forma parte de la competencia de intervención didáctica que deben adquirir los MF. Así, se solicitó a los participantes sugerir cambios para mejorar el proceso de estudio planteado en la lección del libro de texto y elaborar propuestas concretas de solución efectiva a los conflictos que habían indicado (al menos cuatro de estos).</w:t>
      </w:r>
      <w:r w:rsidRPr="00090B23">
        <w:t xml:space="preserve"> </w:t>
      </w:r>
    </w:p>
    <w:p w14:paraId="28989693" w14:textId="7EFFE5DC" w:rsidR="00090B23" w:rsidRPr="00090B23" w:rsidRDefault="00090B23" w:rsidP="00090B23">
      <w:pPr>
        <w:spacing w:after="120"/>
        <w:ind w:firstLine="709"/>
        <w:jc w:val="both"/>
        <w:rPr>
          <w:rFonts w:ascii="Times New Roman" w:eastAsia="Times New Roman" w:hAnsi="Times New Roman" w:cs="Times New Roman"/>
          <w:sz w:val="22"/>
          <w:szCs w:val="22"/>
        </w:rPr>
      </w:pPr>
      <w:r w:rsidRPr="00090B23">
        <w:rPr>
          <w:rFonts w:ascii="Times New Roman" w:eastAsia="Times New Roman" w:hAnsi="Times New Roman" w:cs="Times New Roman"/>
          <w:sz w:val="22"/>
          <w:szCs w:val="22"/>
        </w:rPr>
        <w:t>Aunque las sugerencias de mejora que incluyeron fueron todas significativas y apropiadas (segunda columna en las tablas 4, 5 y 6, a continuación), observamos que no todas las propuestas de solución a conflictos son igual de pertinentes, por lo que proponemos la siguiente categorización de estas:</w:t>
      </w:r>
    </w:p>
    <w:p w14:paraId="00D544DF" w14:textId="23B0D93D" w:rsidR="00090B23" w:rsidRPr="00090B23" w:rsidRDefault="00090B23" w:rsidP="00090B23">
      <w:pPr>
        <w:spacing w:after="120"/>
        <w:ind w:firstLine="709"/>
        <w:jc w:val="both"/>
        <w:rPr>
          <w:rFonts w:ascii="Times New Roman" w:eastAsia="Times New Roman" w:hAnsi="Times New Roman" w:cs="Times New Roman"/>
          <w:sz w:val="22"/>
          <w:szCs w:val="22"/>
        </w:rPr>
      </w:pPr>
      <w:r w:rsidRPr="00090B23">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t>
      </w:r>
      <w:r w:rsidRPr="00090B23">
        <w:rPr>
          <w:rFonts w:ascii="Times New Roman" w:eastAsia="Times New Roman" w:hAnsi="Times New Roman" w:cs="Times New Roman"/>
          <w:i/>
          <w:iCs/>
          <w:sz w:val="22"/>
          <w:szCs w:val="22"/>
        </w:rPr>
        <w:t>no pertinente</w:t>
      </w:r>
      <w:r w:rsidRPr="00090B23">
        <w:rPr>
          <w:rFonts w:ascii="Times New Roman" w:eastAsia="Times New Roman" w:hAnsi="Times New Roman" w:cs="Times New Roman"/>
          <w:sz w:val="22"/>
          <w:szCs w:val="22"/>
        </w:rPr>
        <w:t>, si no da solución al conflicto;</w:t>
      </w:r>
    </w:p>
    <w:p w14:paraId="10BFCCB9" w14:textId="7AFB3553" w:rsidR="00090B23" w:rsidRPr="00090B23" w:rsidRDefault="00090B23" w:rsidP="00090B23">
      <w:pPr>
        <w:spacing w:after="120"/>
        <w:ind w:firstLine="709"/>
        <w:jc w:val="both"/>
        <w:rPr>
          <w:rFonts w:ascii="Times New Roman" w:eastAsia="Times New Roman" w:hAnsi="Times New Roman" w:cs="Times New Roman"/>
          <w:sz w:val="22"/>
          <w:szCs w:val="22"/>
        </w:rPr>
      </w:pPr>
      <w:r w:rsidRPr="00090B23">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t>
      </w:r>
      <w:r w:rsidRPr="00090B23">
        <w:rPr>
          <w:rFonts w:ascii="Times New Roman" w:eastAsia="Times New Roman" w:hAnsi="Times New Roman" w:cs="Times New Roman"/>
          <w:i/>
          <w:iCs/>
          <w:sz w:val="22"/>
          <w:szCs w:val="22"/>
        </w:rPr>
        <w:t>de pertinencia media</w:t>
      </w:r>
      <w:r w:rsidRPr="00090B23">
        <w:rPr>
          <w:rFonts w:ascii="Times New Roman" w:eastAsia="Times New Roman" w:hAnsi="Times New Roman" w:cs="Times New Roman"/>
          <w:sz w:val="22"/>
          <w:szCs w:val="22"/>
        </w:rPr>
        <w:t>, si la solución que propone no es del todo adecuada o carece de fundamentación didáctico-matemática;</w:t>
      </w:r>
    </w:p>
    <w:p w14:paraId="291D810B" w14:textId="4A728083" w:rsidR="00090B23" w:rsidRPr="00090B23" w:rsidRDefault="00090B23" w:rsidP="00090B23">
      <w:pPr>
        <w:spacing w:after="120"/>
        <w:ind w:firstLine="709"/>
        <w:jc w:val="both"/>
        <w:rPr>
          <w:rFonts w:ascii="Times New Roman" w:eastAsia="Times New Roman" w:hAnsi="Times New Roman" w:cs="Times New Roman"/>
          <w:sz w:val="22"/>
          <w:szCs w:val="22"/>
        </w:rPr>
      </w:pPr>
      <w:r w:rsidRPr="00090B23">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t>
      </w:r>
      <w:r w:rsidRPr="00090B23">
        <w:rPr>
          <w:rFonts w:ascii="Times New Roman" w:eastAsia="Times New Roman" w:hAnsi="Times New Roman" w:cs="Times New Roman"/>
          <w:i/>
          <w:iCs/>
          <w:sz w:val="22"/>
          <w:szCs w:val="22"/>
        </w:rPr>
        <w:t>pertinente</w:t>
      </w:r>
      <w:r w:rsidRPr="00090B23">
        <w:rPr>
          <w:rFonts w:ascii="Times New Roman" w:eastAsia="Times New Roman" w:hAnsi="Times New Roman" w:cs="Times New Roman"/>
          <w:sz w:val="22"/>
          <w:szCs w:val="22"/>
        </w:rPr>
        <w:t xml:space="preserve">, si da respuesta al conflicto en base a conocimientos didáctico-matemáticos específicos. </w:t>
      </w:r>
    </w:p>
    <w:p w14:paraId="010308F9" w14:textId="1417AC58" w:rsidR="00090B23" w:rsidRDefault="00090B23" w:rsidP="00090B23">
      <w:pPr>
        <w:spacing w:after="120"/>
        <w:ind w:firstLine="709"/>
        <w:jc w:val="both"/>
        <w:rPr>
          <w:rFonts w:ascii="Times New Roman" w:eastAsia="Times New Roman" w:hAnsi="Times New Roman" w:cs="Times New Roman"/>
          <w:sz w:val="22"/>
          <w:szCs w:val="22"/>
          <w:lang w:val="la"/>
        </w:rPr>
      </w:pPr>
      <w:r w:rsidRPr="00090B23">
        <w:rPr>
          <w:rFonts w:ascii="Times New Roman" w:eastAsia="Times New Roman" w:hAnsi="Times New Roman" w:cs="Times New Roman"/>
          <w:sz w:val="22"/>
          <w:szCs w:val="22"/>
        </w:rPr>
        <w:t>Por ejemplo, más de la mitad de los participantes plantean como conflicto que determinados conceptos no se presentan en la lección de manera clara, fundamentalmente, los de magnitudes proporcionales, porcentaje o escala. Ante este conflicto, sugieren definiciones que incluir en la unidad.  Como se observa en la Figura 5, MF44 aprecia adecuadamente que la lección no introduce una definición de magnitudes proporcionales. Sin embargo, su propuesta de solución a este conflicto no es pertinente, en tanto la definición que propone es incorrecta:</w:t>
      </w:r>
      <w:r w:rsidRPr="00090B23">
        <w:rPr>
          <w:rFonts w:ascii="Times New Roman" w:eastAsia="Times New Roman" w:hAnsi="Times New Roman" w:cs="Times New Roman"/>
          <w:sz w:val="22"/>
          <w:szCs w:val="22"/>
          <w:lang w:val="la"/>
        </w:rPr>
        <w:t xml:space="preserve"> </w:t>
      </w:r>
    </w:p>
    <w:p w14:paraId="6189D5E9" w14:textId="4D042A43" w:rsidR="00090B23" w:rsidRDefault="00090B23" w:rsidP="00090B23">
      <w:pPr>
        <w:spacing w:after="120"/>
        <w:ind w:firstLine="709"/>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Figura </w:t>
      </w:r>
      <w:r>
        <w:rPr>
          <w:rFonts w:ascii="Times New Roman" w:eastAsia="Times New Roman" w:hAnsi="Times New Roman" w:cs="Times New Roman"/>
          <w:b/>
          <w:bCs/>
          <w:sz w:val="22"/>
          <w:szCs w:val="22"/>
        </w:rPr>
        <w:t>5</w:t>
      </w:r>
    </w:p>
    <w:p w14:paraId="68F3DC26" w14:textId="7AC19445" w:rsidR="00E64554" w:rsidRPr="007B5E6C" w:rsidRDefault="00090B23" w:rsidP="007B5E6C">
      <w:pPr>
        <w:spacing w:after="120"/>
        <w:ind w:firstLine="709"/>
        <w:rPr>
          <w:rFonts w:ascii="Times New Roman" w:eastAsia="Times New Roman" w:hAnsi="Times New Roman" w:cs="Times New Roman"/>
          <w:i/>
          <w:iCs/>
          <w:sz w:val="22"/>
          <w:szCs w:val="22"/>
        </w:rPr>
      </w:pPr>
      <w:r w:rsidRPr="00090B23">
        <w:rPr>
          <w:rFonts w:ascii="Times New Roman" w:eastAsia="Times New Roman" w:hAnsi="Times New Roman" w:cs="Times New Roman"/>
          <w:i/>
          <w:iCs/>
          <w:sz w:val="22"/>
          <w:szCs w:val="22"/>
        </w:rPr>
        <w:lastRenderedPageBreak/>
        <w:t>Propuesta de definición de magnitudes proporcionales no pertinente (MF44</w:t>
      </w:r>
      <w:r>
        <w:rPr>
          <w:rFonts w:ascii="Times New Roman" w:eastAsia="Times New Roman" w:hAnsi="Times New Roman" w:cs="Times New Roman"/>
          <w:noProof/>
          <w:sz w:val="22"/>
          <w:szCs w:val="22"/>
        </w:rPr>
        <w:drawing>
          <wp:inline distT="0" distB="0" distL="0" distR="0" wp14:anchorId="03E61E00" wp14:editId="75B56DA8">
            <wp:extent cx="4397072" cy="1712365"/>
            <wp:effectExtent l="0" t="0" r="381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2915" cy="1714641"/>
                    </a:xfrm>
                    <a:prstGeom prst="rect">
                      <a:avLst/>
                    </a:prstGeom>
                    <a:noFill/>
                  </pic:spPr>
                </pic:pic>
              </a:graphicData>
            </a:graphic>
          </wp:inline>
        </w:drawing>
      </w:r>
    </w:p>
    <w:p w14:paraId="73B62D3D" w14:textId="153068D5" w:rsidR="00642B68" w:rsidRDefault="00642B68" w:rsidP="00E64554">
      <w:pPr>
        <w:spacing w:after="120"/>
        <w:ind w:firstLine="709"/>
        <w:jc w:val="both"/>
        <w:rPr>
          <w:rFonts w:ascii="Times New Roman" w:eastAsia="Times New Roman" w:hAnsi="Times New Roman" w:cs="Times New Roman"/>
          <w:sz w:val="22"/>
          <w:szCs w:val="22"/>
          <w:lang w:val="la"/>
        </w:rPr>
      </w:pPr>
      <w:r w:rsidRPr="00642B68">
        <w:rPr>
          <w:rFonts w:ascii="Times New Roman" w:eastAsia="Times New Roman" w:hAnsi="Times New Roman" w:cs="Times New Roman"/>
          <w:sz w:val="22"/>
          <w:szCs w:val="22"/>
          <w:lang w:val="la"/>
        </w:rPr>
        <w:t>Consideramos de pertinencia media la propuesta de MF40, al mismo conflicto, dado que como se observa en la Figura 6, si bien incluye una definición de la relación de proporcionalidad, esta no es del todo pertinente: no establece la relación funcional (no incluye la noción de constante de proporcionalidad) y particulariza la relación multiplicativa escalar.</w:t>
      </w:r>
    </w:p>
    <w:p w14:paraId="10E2F9C5" w14:textId="3944DE4A" w:rsidR="00642B68" w:rsidRDefault="00642B68" w:rsidP="00642B68">
      <w:pPr>
        <w:spacing w:after="120"/>
        <w:ind w:firstLine="709"/>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Figura </w:t>
      </w:r>
      <w:r>
        <w:rPr>
          <w:rFonts w:ascii="Times New Roman" w:eastAsia="Times New Roman" w:hAnsi="Times New Roman" w:cs="Times New Roman"/>
          <w:b/>
          <w:bCs/>
          <w:sz w:val="22"/>
          <w:szCs w:val="22"/>
        </w:rPr>
        <w:t>6</w:t>
      </w:r>
    </w:p>
    <w:p w14:paraId="7D3261E8" w14:textId="7C6657AD" w:rsidR="00642B68" w:rsidRPr="00642B68" w:rsidRDefault="00642B68" w:rsidP="00642B68">
      <w:pPr>
        <w:spacing w:after="120"/>
        <w:ind w:firstLine="709"/>
        <w:rPr>
          <w:rFonts w:ascii="Times New Roman" w:eastAsia="Times New Roman" w:hAnsi="Times New Roman" w:cs="Times New Roman"/>
          <w:i/>
          <w:iCs/>
          <w:sz w:val="22"/>
          <w:szCs w:val="22"/>
        </w:rPr>
      </w:pPr>
      <w:r w:rsidRPr="00642B68">
        <w:rPr>
          <w:rFonts w:ascii="Times New Roman" w:eastAsia="Times New Roman" w:hAnsi="Times New Roman" w:cs="Times New Roman"/>
          <w:i/>
          <w:iCs/>
          <w:sz w:val="22"/>
          <w:szCs w:val="22"/>
        </w:rPr>
        <w:t>Propuesta de definición de magnitudes proporcionales de pertinencia media (MF40)</w:t>
      </w:r>
    </w:p>
    <w:p w14:paraId="267B5939" w14:textId="05347BEE" w:rsidR="00642B68" w:rsidRDefault="00642B68" w:rsidP="00642B68">
      <w:pPr>
        <w:spacing w:after="120"/>
        <w:jc w:val="both"/>
        <w:rPr>
          <w:rFonts w:ascii="Times New Roman" w:eastAsia="Times New Roman" w:hAnsi="Times New Roman" w:cs="Times New Roman"/>
          <w:sz w:val="22"/>
          <w:szCs w:val="22"/>
          <w:lang w:val="la"/>
        </w:rPr>
      </w:pPr>
      <w:r>
        <w:rPr>
          <w:noProof/>
        </w:rPr>
        <w:drawing>
          <wp:inline distT="0" distB="0" distL="0" distR="0" wp14:anchorId="49831242" wp14:editId="6184B6AF">
            <wp:extent cx="4387850" cy="661288"/>
            <wp:effectExtent l="0" t="0" r="0" b="5715"/>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14"/>
                    <a:stretch>
                      <a:fillRect/>
                    </a:stretch>
                  </pic:blipFill>
                  <pic:spPr>
                    <a:xfrm>
                      <a:off x="0" y="0"/>
                      <a:ext cx="4387850" cy="661288"/>
                    </a:xfrm>
                    <a:prstGeom prst="rect">
                      <a:avLst/>
                    </a:prstGeom>
                  </pic:spPr>
                </pic:pic>
              </a:graphicData>
            </a:graphic>
          </wp:inline>
        </w:drawing>
      </w:r>
    </w:p>
    <w:p w14:paraId="311B7E0C" w14:textId="3705C8D5" w:rsidR="00642B68" w:rsidRDefault="00642B68" w:rsidP="00E64554">
      <w:pPr>
        <w:spacing w:after="120"/>
        <w:ind w:firstLine="709"/>
        <w:jc w:val="both"/>
        <w:rPr>
          <w:rFonts w:ascii="Times New Roman" w:eastAsia="Times New Roman" w:hAnsi="Times New Roman" w:cs="Times New Roman"/>
          <w:sz w:val="22"/>
          <w:szCs w:val="22"/>
          <w:lang w:val="la"/>
        </w:rPr>
      </w:pPr>
      <w:r w:rsidRPr="00642B68">
        <w:rPr>
          <w:rFonts w:ascii="Times New Roman" w:eastAsia="Times New Roman" w:hAnsi="Times New Roman" w:cs="Times New Roman"/>
          <w:sz w:val="22"/>
          <w:szCs w:val="22"/>
          <w:lang w:val="la"/>
        </w:rPr>
        <w:t xml:space="preserve">En las tablas 4, 5 y 6 resumimos las sugerencias de mejora y las frecuencias de propuestas efectivas de solución a conflictos en las dimensiones epistémico-ecológica, cognitivo-afectiva e instruccional, según las componentes a las que se vinculan y su grado de pertinencia (NP: No pertinente, PM: Pertinencia media, P: Pertinente). </w:t>
      </w:r>
    </w:p>
    <w:p w14:paraId="50304A5C" w14:textId="28695784" w:rsidR="00825F54" w:rsidRPr="008D4248" w:rsidRDefault="00825F54" w:rsidP="00825F54">
      <w:pPr>
        <w:keepNext/>
        <w:spacing w:after="120"/>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Tabla </w:t>
      </w:r>
      <w:r>
        <w:rPr>
          <w:rFonts w:ascii="Times New Roman" w:eastAsia="Times New Roman" w:hAnsi="Times New Roman" w:cs="Times New Roman"/>
          <w:b/>
          <w:bCs/>
          <w:sz w:val="22"/>
          <w:szCs w:val="22"/>
        </w:rPr>
        <w:t>4</w:t>
      </w:r>
    </w:p>
    <w:p w14:paraId="3FB5EDF6" w14:textId="285B40E2" w:rsidR="00642B68" w:rsidRPr="00266CB4" w:rsidRDefault="00642B68" w:rsidP="00266CB4">
      <w:pPr>
        <w:spacing w:after="120"/>
        <w:rPr>
          <w:rFonts w:ascii="Times New Roman" w:eastAsia="Times New Roman" w:hAnsi="Times New Roman" w:cs="Times New Roman"/>
          <w:i/>
          <w:iCs/>
          <w:sz w:val="22"/>
          <w:szCs w:val="22"/>
        </w:rPr>
      </w:pPr>
      <w:bookmarkStart w:id="1" w:name="_Hlk106361306"/>
      <w:r w:rsidRPr="00825F54">
        <w:rPr>
          <w:rFonts w:ascii="Times New Roman" w:eastAsia="Times New Roman" w:hAnsi="Times New Roman" w:cs="Times New Roman"/>
          <w:i/>
          <w:iCs/>
          <w:sz w:val="22"/>
          <w:szCs w:val="22"/>
        </w:rPr>
        <w:t>Propuesta de mejora y solución a conflictos epistémico-ecológicos.</w:t>
      </w:r>
      <w:r w:rsidR="00825F54">
        <w:rPr>
          <w:rFonts w:ascii="Times New Roman" w:eastAsia="Times New Roman" w:hAnsi="Times New Roman" w:cs="Times New Roman"/>
          <w:i/>
          <w:iCs/>
          <w:sz w:val="22"/>
          <w:szCs w:val="22"/>
        </w:rPr>
        <w:t xml:space="preserve"> Grado de </w:t>
      </w:r>
      <w:r w:rsidRPr="00825F54">
        <w:rPr>
          <w:rFonts w:ascii="Times New Roman" w:eastAsia="Times New Roman" w:hAnsi="Times New Roman" w:cs="Times New Roman"/>
          <w:i/>
          <w:iCs/>
          <w:sz w:val="22"/>
          <w:szCs w:val="22"/>
        </w:rPr>
        <w:t>Pertinencia.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3094"/>
        <w:gridCol w:w="498"/>
        <w:gridCol w:w="536"/>
        <w:gridCol w:w="395"/>
        <w:gridCol w:w="671"/>
      </w:tblGrid>
      <w:tr w:rsidR="00642B68" w:rsidRPr="00825F54" w14:paraId="53B2E94C" w14:textId="77777777" w:rsidTr="00825F54">
        <w:tc>
          <w:tcPr>
            <w:tcW w:w="1716" w:type="dxa"/>
            <w:vMerge w:val="restart"/>
            <w:tcBorders>
              <w:top w:val="single" w:sz="12" w:space="0" w:color="auto"/>
              <w:right w:val="single" w:sz="4" w:space="0" w:color="auto"/>
            </w:tcBorders>
          </w:tcPr>
          <w:p w14:paraId="4176D1EE"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 xml:space="preserve">Componente </w:t>
            </w:r>
          </w:p>
        </w:tc>
        <w:tc>
          <w:tcPr>
            <w:tcW w:w="3094" w:type="dxa"/>
            <w:vMerge w:val="restart"/>
            <w:tcBorders>
              <w:top w:val="single" w:sz="12" w:space="0" w:color="auto"/>
              <w:left w:val="single" w:sz="4" w:space="0" w:color="auto"/>
              <w:right w:val="single" w:sz="4" w:space="0" w:color="auto"/>
            </w:tcBorders>
          </w:tcPr>
          <w:p w14:paraId="06606FF5"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Sugerencias de cambio</w:t>
            </w:r>
          </w:p>
        </w:tc>
        <w:tc>
          <w:tcPr>
            <w:tcW w:w="2100" w:type="dxa"/>
            <w:gridSpan w:val="4"/>
            <w:tcBorders>
              <w:top w:val="single" w:sz="12" w:space="0" w:color="auto"/>
              <w:left w:val="single" w:sz="4" w:space="0" w:color="auto"/>
              <w:bottom w:val="single" w:sz="4" w:space="0" w:color="auto"/>
            </w:tcBorders>
          </w:tcPr>
          <w:p w14:paraId="3CB3AAF9"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Propuesta efectiva de solución al conflicto</w:t>
            </w:r>
          </w:p>
        </w:tc>
      </w:tr>
      <w:tr w:rsidR="00642B68" w:rsidRPr="00825F54" w14:paraId="0615FEB8" w14:textId="77777777" w:rsidTr="00825F54">
        <w:tc>
          <w:tcPr>
            <w:tcW w:w="1716" w:type="dxa"/>
            <w:vMerge/>
            <w:tcBorders>
              <w:bottom w:val="double" w:sz="4" w:space="0" w:color="auto"/>
              <w:right w:val="single" w:sz="4" w:space="0" w:color="auto"/>
            </w:tcBorders>
          </w:tcPr>
          <w:p w14:paraId="11ACF675" w14:textId="77777777" w:rsidR="00642B68" w:rsidRPr="00825F54" w:rsidRDefault="00642B68" w:rsidP="00AF58D1">
            <w:pPr>
              <w:autoSpaceDE w:val="0"/>
              <w:autoSpaceDN w:val="0"/>
              <w:adjustRightInd w:val="0"/>
              <w:rPr>
                <w:rFonts w:ascii="Times New Roman" w:hAnsi="Times New Roman" w:cs="Times New Roman"/>
                <w:sz w:val="22"/>
                <w:szCs w:val="22"/>
              </w:rPr>
            </w:pPr>
          </w:p>
        </w:tc>
        <w:tc>
          <w:tcPr>
            <w:tcW w:w="3094" w:type="dxa"/>
            <w:vMerge/>
            <w:tcBorders>
              <w:left w:val="single" w:sz="4" w:space="0" w:color="auto"/>
              <w:bottom w:val="double" w:sz="4" w:space="0" w:color="auto"/>
              <w:right w:val="single" w:sz="4" w:space="0" w:color="auto"/>
            </w:tcBorders>
          </w:tcPr>
          <w:p w14:paraId="3377A4EC" w14:textId="77777777" w:rsidR="00642B68" w:rsidRPr="00825F54" w:rsidRDefault="00642B68" w:rsidP="00AF58D1">
            <w:pPr>
              <w:autoSpaceDE w:val="0"/>
              <w:autoSpaceDN w:val="0"/>
              <w:adjustRightInd w:val="0"/>
              <w:rPr>
                <w:rFonts w:ascii="Times New Roman" w:hAnsi="Times New Roman" w:cs="Times New Roman"/>
                <w:sz w:val="22"/>
                <w:szCs w:val="22"/>
              </w:rPr>
            </w:pPr>
          </w:p>
        </w:tc>
        <w:tc>
          <w:tcPr>
            <w:tcW w:w="498" w:type="dxa"/>
            <w:tcBorders>
              <w:top w:val="single" w:sz="4" w:space="0" w:color="auto"/>
              <w:left w:val="single" w:sz="4" w:space="0" w:color="auto"/>
              <w:bottom w:val="double" w:sz="4" w:space="0" w:color="auto"/>
            </w:tcBorders>
          </w:tcPr>
          <w:p w14:paraId="0FFEB0FA"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NP</w:t>
            </w:r>
          </w:p>
        </w:tc>
        <w:tc>
          <w:tcPr>
            <w:tcW w:w="536" w:type="dxa"/>
            <w:tcBorders>
              <w:top w:val="single" w:sz="4" w:space="0" w:color="auto"/>
              <w:bottom w:val="double" w:sz="4" w:space="0" w:color="auto"/>
            </w:tcBorders>
          </w:tcPr>
          <w:p w14:paraId="38D825FC"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PM</w:t>
            </w:r>
          </w:p>
        </w:tc>
        <w:tc>
          <w:tcPr>
            <w:tcW w:w="395" w:type="dxa"/>
            <w:tcBorders>
              <w:top w:val="single" w:sz="4" w:space="0" w:color="auto"/>
              <w:bottom w:val="double" w:sz="4" w:space="0" w:color="auto"/>
              <w:right w:val="single" w:sz="4" w:space="0" w:color="auto"/>
            </w:tcBorders>
          </w:tcPr>
          <w:p w14:paraId="5736131B"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P</w:t>
            </w:r>
          </w:p>
        </w:tc>
        <w:tc>
          <w:tcPr>
            <w:tcW w:w="671" w:type="dxa"/>
            <w:tcBorders>
              <w:top w:val="single" w:sz="4" w:space="0" w:color="auto"/>
              <w:left w:val="single" w:sz="4" w:space="0" w:color="auto"/>
              <w:bottom w:val="double" w:sz="4" w:space="0" w:color="auto"/>
            </w:tcBorders>
          </w:tcPr>
          <w:p w14:paraId="5087D57D"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Total</w:t>
            </w:r>
          </w:p>
        </w:tc>
      </w:tr>
      <w:tr w:rsidR="00642B68" w:rsidRPr="00825F54" w14:paraId="6D82E932" w14:textId="77777777" w:rsidTr="00825F54">
        <w:tc>
          <w:tcPr>
            <w:tcW w:w="1716" w:type="dxa"/>
            <w:tcBorders>
              <w:top w:val="double" w:sz="4" w:space="0" w:color="auto"/>
              <w:right w:val="single" w:sz="4" w:space="0" w:color="auto"/>
            </w:tcBorders>
          </w:tcPr>
          <w:p w14:paraId="14D99850"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lastRenderedPageBreak/>
              <w:t>Problemas</w:t>
            </w:r>
          </w:p>
        </w:tc>
        <w:tc>
          <w:tcPr>
            <w:tcW w:w="3094" w:type="dxa"/>
            <w:tcBorders>
              <w:top w:val="double" w:sz="4" w:space="0" w:color="auto"/>
              <w:left w:val="single" w:sz="4" w:space="0" w:color="auto"/>
              <w:right w:val="single" w:sz="4" w:space="0" w:color="auto"/>
            </w:tcBorders>
          </w:tcPr>
          <w:p w14:paraId="7AB4E2C4"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Incluir problemas de semejanza, comparación.</w:t>
            </w:r>
          </w:p>
          <w:p w14:paraId="086C71C4"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Plantear actividades de cálculo mental en cada configuración.</w:t>
            </w:r>
          </w:p>
        </w:tc>
        <w:tc>
          <w:tcPr>
            <w:tcW w:w="498" w:type="dxa"/>
            <w:tcBorders>
              <w:top w:val="double" w:sz="4" w:space="0" w:color="auto"/>
              <w:left w:val="single" w:sz="4" w:space="0" w:color="auto"/>
            </w:tcBorders>
          </w:tcPr>
          <w:p w14:paraId="435529B8"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7</w:t>
            </w:r>
          </w:p>
        </w:tc>
        <w:tc>
          <w:tcPr>
            <w:tcW w:w="536" w:type="dxa"/>
            <w:tcBorders>
              <w:top w:val="double" w:sz="4" w:space="0" w:color="auto"/>
            </w:tcBorders>
          </w:tcPr>
          <w:p w14:paraId="352E568E"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8</w:t>
            </w:r>
          </w:p>
        </w:tc>
        <w:tc>
          <w:tcPr>
            <w:tcW w:w="395" w:type="dxa"/>
            <w:tcBorders>
              <w:top w:val="double" w:sz="4" w:space="0" w:color="auto"/>
              <w:right w:val="single" w:sz="4" w:space="0" w:color="auto"/>
            </w:tcBorders>
          </w:tcPr>
          <w:p w14:paraId="4DBB4FD7"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1</w:t>
            </w:r>
          </w:p>
        </w:tc>
        <w:tc>
          <w:tcPr>
            <w:tcW w:w="671" w:type="dxa"/>
            <w:tcBorders>
              <w:top w:val="double" w:sz="4" w:space="0" w:color="auto"/>
              <w:left w:val="single" w:sz="4" w:space="0" w:color="auto"/>
            </w:tcBorders>
          </w:tcPr>
          <w:p w14:paraId="25F2C52C"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16</w:t>
            </w:r>
          </w:p>
        </w:tc>
      </w:tr>
      <w:tr w:rsidR="00642B68" w:rsidRPr="00825F54" w14:paraId="37BBE229" w14:textId="77777777" w:rsidTr="00825F54">
        <w:tc>
          <w:tcPr>
            <w:tcW w:w="1716" w:type="dxa"/>
            <w:tcBorders>
              <w:right w:val="single" w:sz="4" w:space="0" w:color="auto"/>
            </w:tcBorders>
          </w:tcPr>
          <w:p w14:paraId="5239168E"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Lenguajes</w:t>
            </w:r>
          </w:p>
        </w:tc>
        <w:tc>
          <w:tcPr>
            <w:tcW w:w="3094" w:type="dxa"/>
            <w:tcBorders>
              <w:left w:val="single" w:sz="4" w:space="0" w:color="auto"/>
              <w:right w:val="single" w:sz="4" w:space="0" w:color="auto"/>
            </w:tcBorders>
          </w:tcPr>
          <w:p w14:paraId="732314EF"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Mejorar representaciones.</w:t>
            </w:r>
          </w:p>
        </w:tc>
        <w:tc>
          <w:tcPr>
            <w:tcW w:w="498" w:type="dxa"/>
            <w:tcBorders>
              <w:left w:val="single" w:sz="4" w:space="0" w:color="auto"/>
            </w:tcBorders>
          </w:tcPr>
          <w:p w14:paraId="23E6FC61"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2</w:t>
            </w:r>
          </w:p>
        </w:tc>
        <w:tc>
          <w:tcPr>
            <w:tcW w:w="536" w:type="dxa"/>
          </w:tcPr>
          <w:p w14:paraId="6F6CC9E9"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1</w:t>
            </w:r>
          </w:p>
        </w:tc>
        <w:tc>
          <w:tcPr>
            <w:tcW w:w="395" w:type="dxa"/>
            <w:tcBorders>
              <w:right w:val="single" w:sz="4" w:space="0" w:color="auto"/>
            </w:tcBorders>
          </w:tcPr>
          <w:p w14:paraId="3B8AE415"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0</w:t>
            </w:r>
          </w:p>
        </w:tc>
        <w:tc>
          <w:tcPr>
            <w:tcW w:w="671" w:type="dxa"/>
            <w:tcBorders>
              <w:left w:val="single" w:sz="4" w:space="0" w:color="auto"/>
            </w:tcBorders>
          </w:tcPr>
          <w:p w14:paraId="5A5CDDF5"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3</w:t>
            </w:r>
          </w:p>
        </w:tc>
      </w:tr>
      <w:tr w:rsidR="00642B68" w:rsidRPr="00825F54" w14:paraId="5DA312B7" w14:textId="77777777" w:rsidTr="00825F54">
        <w:tc>
          <w:tcPr>
            <w:tcW w:w="1716" w:type="dxa"/>
            <w:tcBorders>
              <w:right w:val="single" w:sz="4" w:space="0" w:color="auto"/>
            </w:tcBorders>
          </w:tcPr>
          <w:p w14:paraId="3DE016C9"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Conceptos</w:t>
            </w:r>
          </w:p>
        </w:tc>
        <w:tc>
          <w:tcPr>
            <w:tcW w:w="3094" w:type="dxa"/>
            <w:tcBorders>
              <w:left w:val="single" w:sz="4" w:space="0" w:color="auto"/>
              <w:right w:val="single" w:sz="4" w:space="0" w:color="auto"/>
            </w:tcBorders>
          </w:tcPr>
          <w:p w14:paraId="58D6F954"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Definir lo que son magnitudes proporcionales y no proporcionales.</w:t>
            </w:r>
          </w:p>
          <w:p w14:paraId="4A280353"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Definir porcentaje y escala, relacionándolos con la proporcionalidad.</w:t>
            </w:r>
          </w:p>
        </w:tc>
        <w:tc>
          <w:tcPr>
            <w:tcW w:w="498" w:type="dxa"/>
            <w:tcBorders>
              <w:left w:val="single" w:sz="4" w:space="0" w:color="auto"/>
            </w:tcBorders>
          </w:tcPr>
          <w:p w14:paraId="7C1471FF"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5</w:t>
            </w:r>
          </w:p>
        </w:tc>
        <w:tc>
          <w:tcPr>
            <w:tcW w:w="536" w:type="dxa"/>
          </w:tcPr>
          <w:p w14:paraId="37664497"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17</w:t>
            </w:r>
          </w:p>
        </w:tc>
        <w:tc>
          <w:tcPr>
            <w:tcW w:w="395" w:type="dxa"/>
            <w:tcBorders>
              <w:right w:val="single" w:sz="4" w:space="0" w:color="auto"/>
            </w:tcBorders>
          </w:tcPr>
          <w:p w14:paraId="69621F8F"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4</w:t>
            </w:r>
          </w:p>
        </w:tc>
        <w:tc>
          <w:tcPr>
            <w:tcW w:w="671" w:type="dxa"/>
            <w:tcBorders>
              <w:left w:val="single" w:sz="4" w:space="0" w:color="auto"/>
            </w:tcBorders>
          </w:tcPr>
          <w:p w14:paraId="74618E75"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26</w:t>
            </w:r>
          </w:p>
        </w:tc>
      </w:tr>
      <w:tr w:rsidR="00642B68" w:rsidRPr="00825F54" w14:paraId="479439DC" w14:textId="77777777" w:rsidTr="00825F54">
        <w:tc>
          <w:tcPr>
            <w:tcW w:w="1716" w:type="dxa"/>
            <w:tcBorders>
              <w:right w:val="single" w:sz="4" w:space="0" w:color="auto"/>
            </w:tcBorders>
          </w:tcPr>
          <w:p w14:paraId="5411EC31"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Proposiciones</w:t>
            </w:r>
          </w:p>
        </w:tc>
        <w:tc>
          <w:tcPr>
            <w:tcW w:w="3094" w:type="dxa"/>
            <w:tcBorders>
              <w:left w:val="single" w:sz="4" w:space="0" w:color="auto"/>
              <w:right w:val="single" w:sz="4" w:space="0" w:color="auto"/>
            </w:tcBorders>
          </w:tcPr>
          <w:p w14:paraId="4E9EFB5A"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proofErr w:type="gramStart"/>
            <w:r w:rsidRPr="00825F54">
              <w:rPr>
                <w:rFonts w:ascii="Times New Roman" w:hAnsi="Times New Roman" w:cs="Times New Roman"/>
                <w:sz w:val="22"/>
                <w:szCs w:val="22"/>
              </w:rPr>
              <w:t>Destacar</w:t>
            </w:r>
            <w:proofErr w:type="gramEnd"/>
            <w:r w:rsidRPr="00825F54">
              <w:rPr>
                <w:rFonts w:ascii="Times New Roman" w:hAnsi="Times New Roman" w:cs="Times New Roman"/>
                <w:sz w:val="22"/>
                <w:szCs w:val="22"/>
              </w:rPr>
              <w:t xml:space="preserve"> la relación escalar y la funcional.</w:t>
            </w:r>
          </w:p>
        </w:tc>
        <w:tc>
          <w:tcPr>
            <w:tcW w:w="498" w:type="dxa"/>
            <w:tcBorders>
              <w:left w:val="single" w:sz="4" w:space="0" w:color="auto"/>
            </w:tcBorders>
          </w:tcPr>
          <w:p w14:paraId="441D8695"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2</w:t>
            </w:r>
          </w:p>
        </w:tc>
        <w:tc>
          <w:tcPr>
            <w:tcW w:w="536" w:type="dxa"/>
          </w:tcPr>
          <w:p w14:paraId="3BC0E8A2"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0</w:t>
            </w:r>
          </w:p>
        </w:tc>
        <w:tc>
          <w:tcPr>
            <w:tcW w:w="395" w:type="dxa"/>
            <w:tcBorders>
              <w:right w:val="single" w:sz="4" w:space="0" w:color="auto"/>
            </w:tcBorders>
          </w:tcPr>
          <w:p w14:paraId="72A954E8"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0</w:t>
            </w:r>
          </w:p>
        </w:tc>
        <w:tc>
          <w:tcPr>
            <w:tcW w:w="671" w:type="dxa"/>
            <w:tcBorders>
              <w:left w:val="single" w:sz="4" w:space="0" w:color="auto"/>
            </w:tcBorders>
          </w:tcPr>
          <w:p w14:paraId="652B421D"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2</w:t>
            </w:r>
          </w:p>
        </w:tc>
      </w:tr>
      <w:tr w:rsidR="00642B68" w:rsidRPr="00825F54" w14:paraId="265D4069" w14:textId="77777777" w:rsidTr="00825F54">
        <w:tc>
          <w:tcPr>
            <w:tcW w:w="1716" w:type="dxa"/>
            <w:tcBorders>
              <w:right w:val="single" w:sz="4" w:space="0" w:color="auto"/>
            </w:tcBorders>
          </w:tcPr>
          <w:p w14:paraId="1C7C9945"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Procedimientos</w:t>
            </w:r>
          </w:p>
        </w:tc>
        <w:tc>
          <w:tcPr>
            <w:tcW w:w="3094" w:type="dxa"/>
            <w:tcBorders>
              <w:left w:val="single" w:sz="4" w:space="0" w:color="auto"/>
              <w:right w:val="single" w:sz="4" w:space="0" w:color="auto"/>
            </w:tcBorders>
          </w:tcPr>
          <w:p w14:paraId="7310B891"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 xml:space="preserve">Dar flexibilidad en resolución de problemas. </w:t>
            </w:r>
          </w:p>
          <w:p w14:paraId="63857DF9"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Explicar con detalle y separadas reducción a la unidad y regla de tres.</w:t>
            </w:r>
          </w:p>
        </w:tc>
        <w:tc>
          <w:tcPr>
            <w:tcW w:w="498" w:type="dxa"/>
            <w:tcBorders>
              <w:left w:val="single" w:sz="4" w:space="0" w:color="auto"/>
            </w:tcBorders>
          </w:tcPr>
          <w:p w14:paraId="133E977F"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3</w:t>
            </w:r>
          </w:p>
        </w:tc>
        <w:tc>
          <w:tcPr>
            <w:tcW w:w="536" w:type="dxa"/>
          </w:tcPr>
          <w:p w14:paraId="6346950A"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3</w:t>
            </w:r>
          </w:p>
        </w:tc>
        <w:tc>
          <w:tcPr>
            <w:tcW w:w="395" w:type="dxa"/>
            <w:tcBorders>
              <w:right w:val="single" w:sz="4" w:space="0" w:color="auto"/>
            </w:tcBorders>
          </w:tcPr>
          <w:p w14:paraId="25D0796D"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2</w:t>
            </w:r>
          </w:p>
        </w:tc>
        <w:tc>
          <w:tcPr>
            <w:tcW w:w="671" w:type="dxa"/>
            <w:tcBorders>
              <w:left w:val="single" w:sz="4" w:space="0" w:color="auto"/>
            </w:tcBorders>
          </w:tcPr>
          <w:p w14:paraId="49CF0770"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8</w:t>
            </w:r>
          </w:p>
        </w:tc>
      </w:tr>
      <w:tr w:rsidR="00642B68" w:rsidRPr="00825F54" w14:paraId="74D634FD" w14:textId="77777777" w:rsidTr="00825F54">
        <w:tc>
          <w:tcPr>
            <w:tcW w:w="1716" w:type="dxa"/>
            <w:tcBorders>
              <w:right w:val="single" w:sz="4" w:space="0" w:color="auto"/>
            </w:tcBorders>
          </w:tcPr>
          <w:p w14:paraId="627CC51F"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Argumentos</w:t>
            </w:r>
          </w:p>
        </w:tc>
        <w:tc>
          <w:tcPr>
            <w:tcW w:w="3094" w:type="dxa"/>
            <w:tcBorders>
              <w:left w:val="single" w:sz="4" w:space="0" w:color="auto"/>
              <w:right w:val="single" w:sz="4" w:space="0" w:color="auto"/>
            </w:tcBorders>
          </w:tcPr>
          <w:p w14:paraId="67A33351"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Justificar todos los procedimientos</w:t>
            </w:r>
          </w:p>
        </w:tc>
        <w:tc>
          <w:tcPr>
            <w:tcW w:w="498" w:type="dxa"/>
            <w:tcBorders>
              <w:left w:val="single" w:sz="4" w:space="0" w:color="auto"/>
            </w:tcBorders>
          </w:tcPr>
          <w:p w14:paraId="7AF48A55"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2</w:t>
            </w:r>
          </w:p>
        </w:tc>
        <w:tc>
          <w:tcPr>
            <w:tcW w:w="536" w:type="dxa"/>
          </w:tcPr>
          <w:p w14:paraId="126BCBE7"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0</w:t>
            </w:r>
          </w:p>
        </w:tc>
        <w:tc>
          <w:tcPr>
            <w:tcW w:w="395" w:type="dxa"/>
            <w:tcBorders>
              <w:right w:val="single" w:sz="4" w:space="0" w:color="auto"/>
            </w:tcBorders>
          </w:tcPr>
          <w:p w14:paraId="4C7A1B7C"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0</w:t>
            </w:r>
          </w:p>
        </w:tc>
        <w:tc>
          <w:tcPr>
            <w:tcW w:w="671" w:type="dxa"/>
            <w:tcBorders>
              <w:left w:val="single" w:sz="4" w:space="0" w:color="auto"/>
            </w:tcBorders>
          </w:tcPr>
          <w:p w14:paraId="037D313A"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2</w:t>
            </w:r>
          </w:p>
        </w:tc>
      </w:tr>
      <w:tr w:rsidR="00642B68" w:rsidRPr="00825F54" w14:paraId="227E1244" w14:textId="77777777" w:rsidTr="00825F54">
        <w:tc>
          <w:tcPr>
            <w:tcW w:w="1716" w:type="dxa"/>
            <w:tcBorders>
              <w:right w:val="single" w:sz="4" w:space="0" w:color="auto"/>
            </w:tcBorders>
          </w:tcPr>
          <w:p w14:paraId="58BBD395"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Procesos (Argumentación/ Modelización)</w:t>
            </w:r>
          </w:p>
        </w:tc>
        <w:tc>
          <w:tcPr>
            <w:tcW w:w="3094" w:type="dxa"/>
            <w:tcBorders>
              <w:left w:val="single" w:sz="4" w:space="0" w:color="auto"/>
              <w:right w:val="single" w:sz="4" w:space="0" w:color="auto"/>
            </w:tcBorders>
          </w:tcPr>
          <w:p w14:paraId="38B0D6C4"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Pedir a los alumnos que justifiquen todas las soluciones</w:t>
            </w:r>
          </w:p>
          <w:p w14:paraId="732BFCA9"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Incluir función lineal con Geogebra</w:t>
            </w:r>
          </w:p>
        </w:tc>
        <w:tc>
          <w:tcPr>
            <w:tcW w:w="498" w:type="dxa"/>
            <w:tcBorders>
              <w:left w:val="single" w:sz="4" w:space="0" w:color="auto"/>
            </w:tcBorders>
          </w:tcPr>
          <w:p w14:paraId="7988C8F7"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4</w:t>
            </w:r>
          </w:p>
        </w:tc>
        <w:tc>
          <w:tcPr>
            <w:tcW w:w="536" w:type="dxa"/>
          </w:tcPr>
          <w:p w14:paraId="0F92A963"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5</w:t>
            </w:r>
          </w:p>
        </w:tc>
        <w:tc>
          <w:tcPr>
            <w:tcW w:w="395" w:type="dxa"/>
            <w:tcBorders>
              <w:right w:val="single" w:sz="4" w:space="0" w:color="auto"/>
            </w:tcBorders>
          </w:tcPr>
          <w:p w14:paraId="087905F9"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1</w:t>
            </w:r>
          </w:p>
        </w:tc>
        <w:tc>
          <w:tcPr>
            <w:tcW w:w="671" w:type="dxa"/>
            <w:tcBorders>
              <w:left w:val="single" w:sz="4" w:space="0" w:color="auto"/>
            </w:tcBorders>
          </w:tcPr>
          <w:p w14:paraId="25E6CE1E"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10</w:t>
            </w:r>
          </w:p>
        </w:tc>
      </w:tr>
      <w:tr w:rsidR="00642B68" w:rsidRPr="00825F54" w14:paraId="56F1A721" w14:textId="77777777" w:rsidTr="00825F54">
        <w:tc>
          <w:tcPr>
            <w:tcW w:w="1716" w:type="dxa"/>
            <w:tcBorders>
              <w:bottom w:val="single" w:sz="4" w:space="0" w:color="auto"/>
              <w:right w:val="single" w:sz="4" w:space="0" w:color="auto"/>
            </w:tcBorders>
          </w:tcPr>
          <w:p w14:paraId="598F8B79"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Currículo</w:t>
            </w:r>
          </w:p>
        </w:tc>
        <w:tc>
          <w:tcPr>
            <w:tcW w:w="3094" w:type="dxa"/>
            <w:tcBorders>
              <w:left w:val="single" w:sz="4" w:space="0" w:color="auto"/>
              <w:bottom w:val="single" w:sz="4" w:space="0" w:color="auto"/>
              <w:right w:val="single" w:sz="4" w:space="0" w:color="auto"/>
            </w:tcBorders>
          </w:tcPr>
          <w:p w14:paraId="72E699D0" w14:textId="77777777" w:rsidR="00642B68" w:rsidRPr="00825F54" w:rsidRDefault="00642B68" w:rsidP="00642B68">
            <w:pPr>
              <w:pStyle w:val="Prrafodelista"/>
              <w:numPr>
                <w:ilvl w:val="0"/>
                <w:numId w:val="6"/>
              </w:numPr>
              <w:autoSpaceDE w:val="0"/>
              <w:autoSpaceDN w:val="0"/>
              <w:adjustRightInd w:val="0"/>
              <w:ind w:left="170" w:hanging="170"/>
              <w:rPr>
                <w:rFonts w:ascii="Times New Roman" w:hAnsi="Times New Roman" w:cs="Times New Roman"/>
                <w:sz w:val="22"/>
                <w:szCs w:val="22"/>
              </w:rPr>
            </w:pPr>
            <w:r w:rsidRPr="00825F54">
              <w:rPr>
                <w:rFonts w:ascii="Times New Roman" w:hAnsi="Times New Roman" w:cs="Times New Roman"/>
                <w:sz w:val="22"/>
                <w:szCs w:val="22"/>
              </w:rPr>
              <w:t>Relacionar con otros contenidos</w:t>
            </w:r>
          </w:p>
        </w:tc>
        <w:tc>
          <w:tcPr>
            <w:tcW w:w="498" w:type="dxa"/>
            <w:tcBorders>
              <w:left w:val="single" w:sz="4" w:space="0" w:color="auto"/>
              <w:bottom w:val="single" w:sz="4" w:space="0" w:color="auto"/>
            </w:tcBorders>
          </w:tcPr>
          <w:p w14:paraId="13A7C03E"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2</w:t>
            </w:r>
          </w:p>
        </w:tc>
        <w:tc>
          <w:tcPr>
            <w:tcW w:w="536" w:type="dxa"/>
            <w:tcBorders>
              <w:bottom w:val="single" w:sz="4" w:space="0" w:color="auto"/>
            </w:tcBorders>
          </w:tcPr>
          <w:p w14:paraId="2586D1C8"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1</w:t>
            </w:r>
          </w:p>
        </w:tc>
        <w:tc>
          <w:tcPr>
            <w:tcW w:w="395" w:type="dxa"/>
            <w:tcBorders>
              <w:bottom w:val="single" w:sz="4" w:space="0" w:color="auto"/>
              <w:right w:val="single" w:sz="4" w:space="0" w:color="auto"/>
            </w:tcBorders>
          </w:tcPr>
          <w:p w14:paraId="402AB588"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0</w:t>
            </w:r>
          </w:p>
        </w:tc>
        <w:tc>
          <w:tcPr>
            <w:tcW w:w="671" w:type="dxa"/>
            <w:tcBorders>
              <w:left w:val="single" w:sz="4" w:space="0" w:color="auto"/>
              <w:bottom w:val="single" w:sz="4" w:space="0" w:color="auto"/>
            </w:tcBorders>
          </w:tcPr>
          <w:p w14:paraId="4182EE02"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3</w:t>
            </w:r>
          </w:p>
        </w:tc>
      </w:tr>
      <w:tr w:rsidR="00642B68" w:rsidRPr="00825F54" w14:paraId="6437E254" w14:textId="77777777" w:rsidTr="00825F54">
        <w:tc>
          <w:tcPr>
            <w:tcW w:w="1716" w:type="dxa"/>
            <w:tcBorders>
              <w:top w:val="single" w:sz="4" w:space="0" w:color="auto"/>
              <w:bottom w:val="single" w:sz="12" w:space="0" w:color="auto"/>
              <w:right w:val="single" w:sz="4" w:space="0" w:color="auto"/>
            </w:tcBorders>
          </w:tcPr>
          <w:p w14:paraId="0FA5861E" w14:textId="77777777" w:rsidR="00642B68" w:rsidRPr="00825F54" w:rsidRDefault="00642B68" w:rsidP="00AF58D1">
            <w:pPr>
              <w:autoSpaceDE w:val="0"/>
              <w:autoSpaceDN w:val="0"/>
              <w:adjustRightInd w:val="0"/>
              <w:rPr>
                <w:rFonts w:ascii="Times New Roman" w:hAnsi="Times New Roman" w:cs="Times New Roman"/>
                <w:sz w:val="22"/>
                <w:szCs w:val="22"/>
              </w:rPr>
            </w:pPr>
            <w:r w:rsidRPr="00825F54">
              <w:rPr>
                <w:rFonts w:ascii="Times New Roman" w:hAnsi="Times New Roman" w:cs="Times New Roman"/>
                <w:sz w:val="22"/>
                <w:szCs w:val="22"/>
              </w:rPr>
              <w:t>Total</w:t>
            </w:r>
          </w:p>
        </w:tc>
        <w:tc>
          <w:tcPr>
            <w:tcW w:w="3094" w:type="dxa"/>
            <w:tcBorders>
              <w:top w:val="single" w:sz="4" w:space="0" w:color="auto"/>
              <w:left w:val="single" w:sz="4" w:space="0" w:color="auto"/>
              <w:bottom w:val="single" w:sz="12" w:space="0" w:color="auto"/>
              <w:right w:val="single" w:sz="4" w:space="0" w:color="auto"/>
            </w:tcBorders>
          </w:tcPr>
          <w:p w14:paraId="5C16DA4E" w14:textId="77777777" w:rsidR="00642B68" w:rsidRPr="00825F54" w:rsidRDefault="00642B68" w:rsidP="00AF58D1">
            <w:pPr>
              <w:autoSpaceDE w:val="0"/>
              <w:autoSpaceDN w:val="0"/>
              <w:adjustRightInd w:val="0"/>
              <w:jc w:val="center"/>
              <w:rPr>
                <w:rFonts w:ascii="Times New Roman" w:hAnsi="Times New Roman" w:cs="Times New Roman"/>
                <w:sz w:val="22"/>
                <w:szCs w:val="22"/>
              </w:rPr>
            </w:pPr>
          </w:p>
        </w:tc>
        <w:tc>
          <w:tcPr>
            <w:tcW w:w="498" w:type="dxa"/>
            <w:tcBorders>
              <w:top w:val="single" w:sz="4" w:space="0" w:color="auto"/>
              <w:left w:val="single" w:sz="4" w:space="0" w:color="auto"/>
              <w:bottom w:val="single" w:sz="12" w:space="0" w:color="auto"/>
            </w:tcBorders>
          </w:tcPr>
          <w:p w14:paraId="73C1BF05"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27</w:t>
            </w:r>
          </w:p>
        </w:tc>
        <w:tc>
          <w:tcPr>
            <w:tcW w:w="536" w:type="dxa"/>
            <w:tcBorders>
              <w:top w:val="single" w:sz="4" w:space="0" w:color="auto"/>
              <w:bottom w:val="single" w:sz="12" w:space="0" w:color="auto"/>
            </w:tcBorders>
          </w:tcPr>
          <w:p w14:paraId="6ACA171A"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34</w:t>
            </w:r>
          </w:p>
        </w:tc>
        <w:tc>
          <w:tcPr>
            <w:tcW w:w="395" w:type="dxa"/>
            <w:tcBorders>
              <w:top w:val="single" w:sz="4" w:space="0" w:color="auto"/>
              <w:bottom w:val="single" w:sz="12" w:space="0" w:color="auto"/>
              <w:right w:val="single" w:sz="4" w:space="0" w:color="auto"/>
            </w:tcBorders>
          </w:tcPr>
          <w:p w14:paraId="65E53D0D"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8</w:t>
            </w:r>
          </w:p>
        </w:tc>
        <w:tc>
          <w:tcPr>
            <w:tcW w:w="671" w:type="dxa"/>
            <w:tcBorders>
              <w:top w:val="single" w:sz="4" w:space="0" w:color="auto"/>
              <w:left w:val="single" w:sz="4" w:space="0" w:color="auto"/>
              <w:bottom w:val="single" w:sz="12" w:space="0" w:color="auto"/>
            </w:tcBorders>
          </w:tcPr>
          <w:p w14:paraId="2663F843" w14:textId="77777777" w:rsidR="00642B68" w:rsidRPr="00825F54" w:rsidRDefault="00642B68" w:rsidP="00AF58D1">
            <w:pPr>
              <w:autoSpaceDE w:val="0"/>
              <w:autoSpaceDN w:val="0"/>
              <w:adjustRightInd w:val="0"/>
              <w:jc w:val="center"/>
              <w:rPr>
                <w:rFonts w:ascii="Times New Roman" w:hAnsi="Times New Roman" w:cs="Times New Roman"/>
                <w:sz w:val="22"/>
                <w:szCs w:val="22"/>
              </w:rPr>
            </w:pPr>
            <w:r w:rsidRPr="00825F54">
              <w:rPr>
                <w:rFonts w:ascii="Times New Roman" w:hAnsi="Times New Roman" w:cs="Times New Roman"/>
                <w:sz w:val="22"/>
                <w:szCs w:val="22"/>
              </w:rPr>
              <w:t>70</w:t>
            </w:r>
          </w:p>
        </w:tc>
      </w:tr>
    </w:tbl>
    <w:bookmarkEnd w:id="1"/>
    <w:p w14:paraId="229315C6" w14:textId="77777777" w:rsidR="00642B68" w:rsidRPr="00642B68" w:rsidRDefault="00642B68" w:rsidP="00642B68">
      <w:pPr>
        <w:spacing w:after="120"/>
        <w:ind w:firstLine="709"/>
        <w:jc w:val="both"/>
        <w:rPr>
          <w:rFonts w:ascii="Times New Roman" w:eastAsia="Times New Roman" w:hAnsi="Times New Roman" w:cs="Times New Roman"/>
          <w:sz w:val="22"/>
          <w:szCs w:val="22"/>
          <w:lang w:val="la"/>
        </w:rPr>
      </w:pPr>
      <w:r w:rsidRPr="00642B68">
        <w:rPr>
          <w:rFonts w:ascii="Times New Roman" w:eastAsia="Times New Roman" w:hAnsi="Times New Roman" w:cs="Times New Roman"/>
          <w:sz w:val="22"/>
          <w:szCs w:val="22"/>
          <w:lang w:val="la"/>
        </w:rPr>
        <w:t xml:space="preserve">Los MF han propuesto solución a 70 de los conflictos epistémico-ecológicos identificados (es decir, al 26,44% de los que fueron identificados con cierta representatividad). Sin embargo, un porcentaje elevado de las propuestas se consideran no pertinentes. Con relación al componente problemas, aunque la mayoría de sugerencias de mejora tienen que ver con la necesidad de incluir problemas que cubran todos los significados de la proporcionalidad (Aroza et al., 2016), en concreto, señalan de semejanza o comparación, o que los alumnos planteen problemas de proporcionalidad (usualmente a partir de una “tabla de proporcionalidad”) la mayoría de propuestas concretas de solución a conflictos refieren a que el cálculo mental </w:t>
      </w:r>
      <w:r w:rsidRPr="00642B68">
        <w:rPr>
          <w:rFonts w:ascii="Times New Roman" w:eastAsia="Times New Roman" w:hAnsi="Times New Roman" w:cs="Times New Roman"/>
          <w:sz w:val="22"/>
          <w:szCs w:val="22"/>
          <w:lang w:val="la"/>
        </w:rPr>
        <w:lastRenderedPageBreak/>
        <w:t>se contemple en todas las configuraciones (magnitudes proporcionales, reducción a la unidad, regla de tres, escalas) y no sólo con los porcentajes.</w:t>
      </w:r>
    </w:p>
    <w:p w14:paraId="2477AB55" w14:textId="09AD37D1" w:rsidR="00642B68" w:rsidRDefault="00642B68" w:rsidP="00642B68">
      <w:pPr>
        <w:spacing w:after="120"/>
        <w:ind w:firstLine="709"/>
        <w:jc w:val="both"/>
        <w:rPr>
          <w:rFonts w:ascii="Times New Roman" w:eastAsia="Times New Roman" w:hAnsi="Times New Roman" w:cs="Times New Roman"/>
          <w:sz w:val="22"/>
          <w:szCs w:val="22"/>
          <w:lang w:val="la"/>
        </w:rPr>
      </w:pPr>
      <w:r w:rsidRPr="00642B68">
        <w:rPr>
          <w:rFonts w:ascii="Times New Roman" w:eastAsia="Times New Roman" w:hAnsi="Times New Roman" w:cs="Times New Roman"/>
          <w:sz w:val="22"/>
          <w:szCs w:val="22"/>
          <w:lang w:val="la"/>
        </w:rPr>
        <w:t>Más de la tercera parte de las propuestas abordan la necesidad de incluir en la lección definiciones apropiadas para los conceptos fundamentales: magnitudes proporcionales (Figuras 5 y 6), porcentajes y escalas. Sin embargo, en su mayoría las que plantean no son del todo adecuadas, o no mejoran las carencias que las motivan. En el caso de las magnitudes proporcionales, las definiciones o bien no son adecuadas (basadas en la propiedad en acto, “más en A…, más en B”) o bien sólo consideran la relación multiplicativa escalar (Figura 6). En el caso del porcentaje, destacan el porcentaje como símbolo, como fracción decimal y sólo en escasas ocasiones tratan de vincularlo con la relación de proporcionalidad, como se muestra en la Figura 7.</w:t>
      </w:r>
    </w:p>
    <w:p w14:paraId="06D38CC3" w14:textId="407A0DC7" w:rsidR="00825F54" w:rsidRDefault="00825F54" w:rsidP="00825F54">
      <w:pPr>
        <w:spacing w:after="120"/>
        <w:ind w:firstLine="709"/>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Figura </w:t>
      </w:r>
      <w:r>
        <w:rPr>
          <w:rFonts w:ascii="Times New Roman" w:eastAsia="Times New Roman" w:hAnsi="Times New Roman" w:cs="Times New Roman"/>
          <w:b/>
          <w:bCs/>
          <w:sz w:val="22"/>
          <w:szCs w:val="22"/>
        </w:rPr>
        <w:t>7</w:t>
      </w:r>
    </w:p>
    <w:p w14:paraId="554302E9" w14:textId="4A9330CB" w:rsidR="00825F54" w:rsidRPr="00825F54" w:rsidRDefault="00825F54" w:rsidP="00825F54">
      <w:pPr>
        <w:spacing w:after="120"/>
        <w:ind w:firstLine="709"/>
        <w:rPr>
          <w:rFonts w:ascii="Times New Roman" w:eastAsia="Times New Roman" w:hAnsi="Times New Roman" w:cs="Times New Roman"/>
          <w:i/>
          <w:iCs/>
          <w:sz w:val="22"/>
          <w:szCs w:val="22"/>
        </w:rPr>
      </w:pPr>
      <w:r w:rsidRPr="00825F54">
        <w:rPr>
          <w:rFonts w:ascii="Times New Roman" w:eastAsia="Times New Roman" w:hAnsi="Times New Roman" w:cs="Times New Roman"/>
          <w:i/>
          <w:iCs/>
          <w:sz w:val="22"/>
          <w:szCs w:val="22"/>
        </w:rPr>
        <w:t>Propuesta de definición de porcentaje dada por MF44.</w:t>
      </w:r>
    </w:p>
    <w:p w14:paraId="1A0E7816" w14:textId="76B81969" w:rsidR="00642B68" w:rsidRPr="003E49DC" w:rsidRDefault="00642B68" w:rsidP="00642B68">
      <w:pPr>
        <w:autoSpaceDE w:val="0"/>
        <w:autoSpaceDN w:val="0"/>
        <w:adjustRightInd w:val="0"/>
        <w:rPr>
          <w:rFonts w:ascii="Times New Roman" w:hAnsi="Times New Roman"/>
        </w:rPr>
      </w:pPr>
      <w:r>
        <w:rPr>
          <w:noProof/>
        </w:rPr>
        <w:drawing>
          <wp:inline distT="0" distB="0" distL="0" distR="0" wp14:anchorId="38219E5D" wp14:editId="228F8398">
            <wp:extent cx="4420925" cy="900405"/>
            <wp:effectExtent l="0" t="0" r="0"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15"/>
                    <a:stretch>
                      <a:fillRect/>
                    </a:stretch>
                  </pic:blipFill>
                  <pic:spPr>
                    <a:xfrm>
                      <a:off x="0" y="0"/>
                      <a:ext cx="4454841" cy="907313"/>
                    </a:xfrm>
                    <a:prstGeom prst="rect">
                      <a:avLst/>
                    </a:prstGeom>
                  </pic:spPr>
                </pic:pic>
              </a:graphicData>
            </a:graphic>
          </wp:inline>
        </w:drawing>
      </w:r>
    </w:p>
    <w:p w14:paraId="7661FBB1" w14:textId="1CB8151A" w:rsidR="00642B68" w:rsidRDefault="00642B68" w:rsidP="00642B68">
      <w:pPr>
        <w:spacing w:after="120"/>
        <w:ind w:firstLine="709"/>
        <w:jc w:val="both"/>
        <w:rPr>
          <w:rFonts w:ascii="Times New Roman" w:eastAsia="Times New Roman" w:hAnsi="Times New Roman" w:cs="Times New Roman"/>
          <w:sz w:val="22"/>
          <w:szCs w:val="22"/>
          <w:lang w:val="la"/>
        </w:rPr>
      </w:pPr>
      <w:r w:rsidRPr="00642B68">
        <w:rPr>
          <w:rFonts w:ascii="Times New Roman" w:eastAsia="Times New Roman" w:hAnsi="Times New Roman" w:cs="Times New Roman"/>
          <w:sz w:val="22"/>
          <w:szCs w:val="22"/>
          <w:lang w:val="la"/>
        </w:rPr>
        <w:t xml:space="preserve">Para la escala, proponen definirla como “una razón de proporcionalidad entre la medida representada y la medida real, expresadas en una misma unidad de medida” (MF33).  En otros casos, las propuestas de solución a conflictos son menos específicas, planteando, por ejemplo, pedir que argumenten la solución a los problemas, incluir la función lineal (por medio de Geogebra) o temas transversales y otros contenidos relacionados con la historia matemática. </w:t>
      </w:r>
    </w:p>
    <w:p w14:paraId="05CE048A" w14:textId="1F1EB501" w:rsidR="00266CB4" w:rsidRPr="008D4248" w:rsidRDefault="00266CB4" w:rsidP="00266CB4">
      <w:pPr>
        <w:keepNext/>
        <w:spacing w:after="120"/>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Tabla </w:t>
      </w:r>
      <w:r>
        <w:rPr>
          <w:rFonts w:ascii="Times New Roman" w:eastAsia="Times New Roman" w:hAnsi="Times New Roman" w:cs="Times New Roman"/>
          <w:b/>
          <w:bCs/>
          <w:sz w:val="22"/>
          <w:szCs w:val="22"/>
        </w:rPr>
        <w:t>5</w:t>
      </w:r>
    </w:p>
    <w:p w14:paraId="1512FEC9" w14:textId="5EB19C84" w:rsidR="00642B68" w:rsidRPr="00266CB4" w:rsidRDefault="00642B68" w:rsidP="00266CB4">
      <w:pPr>
        <w:spacing w:after="120"/>
        <w:rPr>
          <w:rFonts w:ascii="Times New Roman" w:eastAsia="Times New Roman" w:hAnsi="Times New Roman" w:cs="Times New Roman"/>
          <w:i/>
          <w:iCs/>
          <w:sz w:val="22"/>
          <w:szCs w:val="22"/>
        </w:rPr>
      </w:pPr>
      <w:bookmarkStart w:id="2" w:name="_Hlk106361325"/>
      <w:r w:rsidRPr="00266CB4">
        <w:rPr>
          <w:rFonts w:ascii="Times New Roman" w:eastAsia="Times New Roman" w:hAnsi="Times New Roman" w:cs="Times New Roman"/>
          <w:i/>
          <w:iCs/>
          <w:sz w:val="22"/>
          <w:szCs w:val="22"/>
        </w:rPr>
        <w:t>Propuesta de mejora y solución a conflictos cognitivo-afectivos. Grado de pertinencia.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231"/>
        <w:gridCol w:w="544"/>
        <w:gridCol w:w="538"/>
        <w:gridCol w:w="373"/>
        <w:gridCol w:w="675"/>
      </w:tblGrid>
      <w:tr w:rsidR="00642B68" w:rsidRPr="00266CB4" w14:paraId="183DE880" w14:textId="77777777" w:rsidTr="00AF58D1">
        <w:tc>
          <w:tcPr>
            <w:tcW w:w="1384" w:type="dxa"/>
            <w:vMerge w:val="restart"/>
            <w:tcBorders>
              <w:top w:val="single" w:sz="12" w:space="0" w:color="auto"/>
              <w:right w:val="single" w:sz="4" w:space="0" w:color="auto"/>
            </w:tcBorders>
          </w:tcPr>
          <w:p w14:paraId="14C533FF" w14:textId="77777777" w:rsidR="00642B68" w:rsidRPr="00266CB4" w:rsidRDefault="00642B68" w:rsidP="00266CB4">
            <w:pPr>
              <w:autoSpaceDE w:val="0"/>
              <w:autoSpaceDN w:val="0"/>
              <w:adjustRightInd w:val="0"/>
              <w:rPr>
                <w:rFonts w:ascii="Times New Roman" w:hAnsi="Times New Roman" w:cs="Times New Roman"/>
                <w:sz w:val="22"/>
                <w:szCs w:val="22"/>
              </w:rPr>
            </w:pPr>
            <w:r w:rsidRPr="00266CB4">
              <w:rPr>
                <w:rFonts w:ascii="Times New Roman" w:hAnsi="Times New Roman" w:cs="Times New Roman"/>
                <w:sz w:val="22"/>
                <w:szCs w:val="22"/>
              </w:rPr>
              <w:t xml:space="preserve">Componente </w:t>
            </w:r>
          </w:p>
        </w:tc>
        <w:tc>
          <w:tcPr>
            <w:tcW w:w="5090" w:type="dxa"/>
            <w:vMerge w:val="restart"/>
            <w:tcBorders>
              <w:top w:val="single" w:sz="12" w:space="0" w:color="auto"/>
              <w:left w:val="single" w:sz="4" w:space="0" w:color="auto"/>
              <w:right w:val="single" w:sz="4" w:space="0" w:color="auto"/>
            </w:tcBorders>
          </w:tcPr>
          <w:p w14:paraId="6C688258" w14:textId="77777777" w:rsidR="00642B68" w:rsidRPr="00266CB4" w:rsidRDefault="00642B68" w:rsidP="00266CB4">
            <w:pPr>
              <w:autoSpaceDE w:val="0"/>
              <w:autoSpaceDN w:val="0"/>
              <w:adjustRightInd w:val="0"/>
              <w:rPr>
                <w:rFonts w:ascii="Times New Roman" w:hAnsi="Times New Roman" w:cs="Times New Roman"/>
                <w:sz w:val="22"/>
                <w:szCs w:val="22"/>
              </w:rPr>
            </w:pPr>
            <w:r w:rsidRPr="00266CB4">
              <w:rPr>
                <w:rFonts w:ascii="Times New Roman" w:hAnsi="Times New Roman" w:cs="Times New Roman"/>
                <w:sz w:val="22"/>
                <w:szCs w:val="22"/>
              </w:rPr>
              <w:t>Sugerencia de mejora</w:t>
            </w:r>
          </w:p>
        </w:tc>
        <w:tc>
          <w:tcPr>
            <w:tcW w:w="2246" w:type="dxa"/>
            <w:gridSpan w:val="4"/>
            <w:tcBorders>
              <w:top w:val="single" w:sz="12" w:space="0" w:color="auto"/>
              <w:left w:val="single" w:sz="4" w:space="0" w:color="auto"/>
            </w:tcBorders>
          </w:tcPr>
          <w:p w14:paraId="005D5977"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Propuesta de solución al conflicto</w:t>
            </w:r>
          </w:p>
        </w:tc>
      </w:tr>
      <w:tr w:rsidR="00642B68" w:rsidRPr="00266CB4" w14:paraId="14E9B4F7" w14:textId="77777777" w:rsidTr="00AF58D1">
        <w:tc>
          <w:tcPr>
            <w:tcW w:w="1384" w:type="dxa"/>
            <w:vMerge/>
            <w:tcBorders>
              <w:bottom w:val="double" w:sz="4" w:space="0" w:color="auto"/>
              <w:right w:val="single" w:sz="4" w:space="0" w:color="auto"/>
            </w:tcBorders>
          </w:tcPr>
          <w:p w14:paraId="1A0D27CF" w14:textId="77777777" w:rsidR="00642B68" w:rsidRPr="00266CB4" w:rsidRDefault="00642B68" w:rsidP="00266CB4">
            <w:pPr>
              <w:autoSpaceDE w:val="0"/>
              <w:autoSpaceDN w:val="0"/>
              <w:adjustRightInd w:val="0"/>
              <w:rPr>
                <w:rFonts w:ascii="Times New Roman" w:hAnsi="Times New Roman" w:cs="Times New Roman"/>
                <w:sz w:val="22"/>
                <w:szCs w:val="22"/>
              </w:rPr>
            </w:pPr>
          </w:p>
        </w:tc>
        <w:tc>
          <w:tcPr>
            <w:tcW w:w="5090" w:type="dxa"/>
            <w:vMerge/>
            <w:tcBorders>
              <w:left w:val="single" w:sz="4" w:space="0" w:color="auto"/>
              <w:bottom w:val="double" w:sz="4" w:space="0" w:color="auto"/>
              <w:right w:val="single" w:sz="4" w:space="0" w:color="auto"/>
            </w:tcBorders>
          </w:tcPr>
          <w:p w14:paraId="05BCDF9D" w14:textId="77777777" w:rsidR="00642B68" w:rsidRPr="00266CB4" w:rsidRDefault="00642B68" w:rsidP="00266CB4">
            <w:pPr>
              <w:autoSpaceDE w:val="0"/>
              <w:autoSpaceDN w:val="0"/>
              <w:adjustRightInd w:val="0"/>
              <w:rPr>
                <w:rFonts w:ascii="Times New Roman" w:hAnsi="Times New Roman" w:cs="Times New Roman"/>
                <w:sz w:val="22"/>
                <w:szCs w:val="22"/>
              </w:rPr>
            </w:pPr>
          </w:p>
        </w:tc>
        <w:tc>
          <w:tcPr>
            <w:tcW w:w="600" w:type="dxa"/>
            <w:tcBorders>
              <w:top w:val="single" w:sz="4" w:space="0" w:color="auto"/>
              <w:left w:val="single" w:sz="4" w:space="0" w:color="auto"/>
              <w:bottom w:val="double" w:sz="4" w:space="0" w:color="auto"/>
            </w:tcBorders>
          </w:tcPr>
          <w:p w14:paraId="39DB4489"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NP</w:t>
            </w:r>
          </w:p>
        </w:tc>
        <w:tc>
          <w:tcPr>
            <w:tcW w:w="543" w:type="dxa"/>
            <w:tcBorders>
              <w:top w:val="single" w:sz="4" w:space="0" w:color="auto"/>
              <w:bottom w:val="double" w:sz="4" w:space="0" w:color="auto"/>
            </w:tcBorders>
          </w:tcPr>
          <w:p w14:paraId="2BE11824"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PM</w:t>
            </w:r>
          </w:p>
        </w:tc>
        <w:tc>
          <w:tcPr>
            <w:tcW w:w="415" w:type="dxa"/>
            <w:tcBorders>
              <w:top w:val="single" w:sz="4" w:space="0" w:color="auto"/>
              <w:bottom w:val="double" w:sz="4" w:space="0" w:color="auto"/>
              <w:right w:val="single" w:sz="4" w:space="0" w:color="auto"/>
            </w:tcBorders>
          </w:tcPr>
          <w:p w14:paraId="7567D6FF"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P</w:t>
            </w:r>
          </w:p>
        </w:tc>
        <w:tc>
          <w:tcPr>
            <w:tcW w:w="688" w:type="dxa"/>
            <w:tcBorders>
              <w:top w:val="single" w:sz="4" w:space="0" w:color="auto"/>
              <w:left w:val="single" w:sz="4" w:space="0" w:color="auto"/>
              <w:bottom w:val="double" w:sz="4" w:space="0" w:color="auto"/>
            </w:tcBorders>
          </w:tcPr>
          <w:p w14:paraId="2BAFDE23"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Total</w:t>
            </w:r>
          </w:p>
        </w:tc>
      </w:tr>
      <w:tr w:rsidR="00642B68" w:rsidRPr="00266CB4" w14:paraId="1E5A94CA" w14:textId="77777777" w:rsidTr="00AF58D1">
        <w:tc>
          <w:tcPr>
            <w:tcW w:w="1384" w:type="dxa"/>
            <w:tcBorders>
              <w:top w:val="double" w:sz="4" w:space="0" w:color="auto"/>
              <w:right w:val="single" w:sz="4" w:space="0" w:color="auto"/>
            </w:tcBorders>
          </w:tcPr>
          <w:p w14:paraId="64D02FCF" w14:textId="77777777" w:rsidR="00642B68" w:rsidRPr="00266CB4" w:rsidRDefault="00642B68" w:rsidP="00266CB4">
            <w:pPr>
              <w:autoSpaceDE w:val="0"/>
              <w:autoSpaceDN w:val="0"/>
              <w:adjustRightInd w:val="0"/>
              <w:rPr>
                <w:rFonts w:ascii="Times New Roman" w:hAnsi="Times New Roman" w:cs="Times New Roman"/>
                <w:sz w:val="22"/>
                <w:szCs w:val="22"/>
              </w:rPr>
            </w:pPr>
            <w:r w:rsidRPr="00266CB4">
              <w:rPr>
                <w:rFonts w:ascii="Times New Roman" w:hAnsi="Times New Roman" w:cs="Times New Roman"/>
                <w:sz w:val="22"/>
                <w:szCs w:val="22"/>
              </w:rPr>
              <w:t>Conocimientos previos</w:t>
            </w:r>
          </w:p>
        </w:tc>
        <w:tc>
          <w:tcPr>
            <w:tcW w:w="5090" w:type="dxa"/>
            <w:tcBorders>
              <w:top w:val="double" w:sz="4" w:space="0" w:color="auto"/>
              <w:left w:val="single" w:sz="4" w:space="0" w:color="auto"/>
              <w:right w:val="single" w:sz="4" w:space="0" w:color="auto"/>
            </w:tcBorders>
          </w:tcPr>
          <w:p w14:paraId="21C70E5D" w14:textId="77777777" w:rsidR="00642B68" w:rsidRPr="00266CB4" w:rsidRDefault="00642B68" w:rsidP="00266CB4">
            <w:pPr>
              <w:pStyle w:val="Prrafodelista"/>
              <w:numPr>
                <w:ilvl w:val="0"/>
                <w:numId w:val="7"/>
              </w:numPr>
              <w:autoSpaceDE w:val="0"/>
              <w:autoSpaceDN w:val="0"/>
              <w:adjustRightInd w:val="0"/>
              <w:ind w:left="170" w:hanging="170"/>
              <w:jc w:val="both"/>
              <w:rPr>
                <w:rFonts w:ascii="Times New Roman" w:hAnsi="Times New Roman" w:cs="Times New Roman"/>
                <w:sz w:val="22"/>
                <w:szCs w:val="22"/>
              </w:rPr>
            </w:pPr>
            <w:r w:rsidRPr="00266CB4">
              <w:rPr>
                <w:rFonts w:ascii="Times New Roman" w:hAnsi="Times New Roman" w:cs="Times New Roman"/>
                <w:sz w:val="22"/>
                <w:szCs w:val="22"/>
              </w:rPr>
              <w:t xml:space="preserve">Incluir actividades para detectar y reforzar conocimientos previos </w:t>
            </w:r>
          </w:p>
        </w:tc>
        <w:tc>
          <w:tcPr>
            <w:tcW w:w="600" w:type="dxa"/>
            <w:tcBorders>
              <w:top w:val="double" w:sz="4" w:space="0" w:color="auto"/>
              <w:left w:val="single" w:sz="4" w:space="0" w:color="auto"/>
            </w:tcBorders>
          </w:tcPr>
          <w:p w14:paraId="6C7ECA6B"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1</w:t>
            </w:r>
          </w:p>
        </w:tc>
        <w:tc>
          <w:tcPr>
            <w:tcW w:w="543" w:type="dxa"/>
            <w:tcBorders>
              <w:top w:val="double" w:sz="4" w:space="0" w:color="auto"/>
            </w:tcBorders>
          </w:tcPr>
          <w:p w14:paraId="57285365"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3</w:t>
            </w:r>
          </w:p>
        </w:tc>
        <w:tc>
          <w:tcPr>
            <w:tcW w:w="415" w:type="dxa"/>
            <w:tcBorders>
              <w:top w:val="double" w:sz="4" w:space="0" w:color="auto"/>
              <w:right w:val="single" w:sz="4" w:space="0" w:color="auto"/>
            </w:tcBorders>
          </w:tcPr>
          <w:p w14:paraId="41143284"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3</w:t>
            </w:r>
          </w:p>
        </w:tc>
        <w:tc>
          <w:tcPr>
            <w:tcW w:w="688" w:type="dxa"/>
            <w:tcBorders>
              <w:top w:val="double" w:sz="4" w:space="0" w:color="auto"/>
              <w:left w:val="single" w:sz="4" w:space="0" w:color="auto"/>
            </w:tcBorders>
          </w:tcPr>
          <w:p w14:paraId="3EE2D037"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7</w:t>
            </w:r>
          </w:p>
        </w:tc>
      </w:tr>
      <w:tr w:rsidR="00642B68" w:rsidRPr="00266CB4" w14:paraId="6934CD91" w14:textId="77777777" w:rsidTr="00AF58D1">
        <w:tc>
          <w:tcPr>
            <w:tcW w:w="1384" w:type="dxa"/>
            <w:tcBorders>
              <w:right w:val="single" w:sz="4" w:space="0" w:color="auto"/>
            </w:tcBorders>
          </w:tcPr>
          <w:p w14:paraId="140AD5D0" w14:textId="77777777" w:rsidR="00642B68" w:rsidRPr="00266CB4" w:rsidRDefault="00642B68" w:rsidP="00266CB4">
            <w:pPr>
              <w:autoSpaceDE w:val="0"/>
              <w:autoSpaceDN w:val="0"/>
              <w:adjustRightInd w:val="0"/>
              <w:rPr>
                <w:rFonts w:ascii="Times New Roman" w:hAnsi="Times New Roman" w:cs="Times New Roman"/>
                <w:sz w:val="22"/>
                <w:szCs w:val="22"/>
              </w:rPr>
            </w:pPr>
            <w:r w:rsidRPr="00266CB4">
              <w:rPr>
                <w:rFonts w:ascii="Times New Roman" w:hAnsi="Times New Roman" w:cs="Times New Roman"/>
                <w:sz w:val="22"/>
                <w:szCs w:val="22"/>
              </w:rPr>
              <w:lastRenderedPageBreak/>
              <w:t>Diferencias individuales</w:t>
            </w:r>
          </w:p>
        </w:tc>
        <w:tc>
          <w:tcPr>
            <w:tcW w:w="5090" w:type="dxa"/>
            <w:tcBorders>
              <w:left w:val="single" w:sz="4" w:space="0" w:color="auto"/>
              <w:right w:val="single" w:sz="4" w:space="0" w:color="auto"/>
            </w:tcBorders>
          </w:tcPr>
          <w:p w14:paraId="7EB94A86" w14:textId="77777777" w:rsidR="00642B68" w:rsidRPr="00266CB4" w:rsidRDefault="00642B68" w:rsidP="00266CB4">
            <w:pPr>
              <w:pStyle w:val="Prrafodelista"/>
              <w:numPr>
                <w:ilvl w:val="0"/>
                <w:numId w:val="7"/>
              </w:numPr>
              <w:spacing w:before="120"/>
              <w:ind w:left="170" w:hanging="170"/>
              <w:jc w:val="both"/>
              <w:rPr>
                <w:rFonts w:ascii="Times New Roman" w:hAnsi="Times New Roman" w:cs="Times New Roman"/>
                <w:sz w:val="22"/>
                <w:szCs w:val="22"/>
              </w:rPr>
            </w:pPr>
            <w:r w:rsidRPr="00266CB4">
              <w:rPr>
                <w:rFonts w:ascii="Times New Roman" w:hAnsi="Times New Roman" w:cs="Times New Roman"/>
                <w:sz w:val="22"/>
                <w:szCs w:val="22"/>
              </w:rPr>
              <w:t>Incluir actividades de ampliación y refuerzo</w:t>
            </w:r>
          </w:p>
        </w:tc>
        <w:tc>
          <w:tcPr>
            <w:tcW w:w="600" w:type="dxa"/>
            <w:tcBorders>
              <w:left w:val="single" w:sz="4" w:space="0" w:color="auto"/>
            </w:tcBorders>
          </w:tcPr>
          <w:p w14:paraId="256CFF33"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3</w:t>
            </w:r>
          </w:p>
        </w:tc>
        <w:tc>
          <w:tcPr>
            <w:tcW w:w="543" w:type="dxa"/>
          </w:tcPr>
          <w:p w14:paraId="61871F91"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2</w:t>
            </w:r>
          </w:p>
        </w:tc>
        <w:tc>
          <w:tcPr>
            <w:tcW w:w="415" w:type="dxa"/>
            <w:tcBorders>
              <w:right w:val="single" w:sz="4" w:space="0" w:color="auto"/>
            </w:tcBorders>
          </w:tcPr>
          <w:p w14:paraId="17D2E7ED"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0</w:t>
            </w:r>
          </w:p>
        </w:tc>
        <w:tc>
          <w:tcPr>
            <w:tcW w:w="688" w:type="dxa"/>
            <w:tcBorders>
              <w:left w:val="single" w:sz="4" w:space="0" w:color="auto"/>
            </w:tcBorders>
          </w:tcPr>
          <w:p w14:paraId="1118384E"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5</w:t>
            </w:r>
          </w:p>
        </w:tc>
      </w:tr>
      <w:tr w:rsidR="00642B68" w:rsidRPr="00266CB4" w14:paraId="76BBDC64" w14:textId="77777777" w:rsidTr="00AF58D1">
        <w:tc>
          <w:tcPr>
            <w:tcW w:w="1384" w:type="dxa"/>
            <w:tcBorders>
              <w:right w:val="single" w:sz="4" w:space="0" w:color="auto"/>
            </w:tcBorders>
          </w:tcPr>
          <w:p w14:paraId="29BF2D96" w14:textId="77777777" w:rsidR="00642B68" w:rsidRPr="00266CB4" w:rsidRDefault="00642B68" w:rsidP="00266CB4">
            <w:pPr>
              <w:autoSpaceDE w:val="0"/>
              <w:autoSpaceDN w:val="0"/>
              <w:adjustRightInd w:val="0"/>
              <w:rPr>
                <w:rFonts w:ascii="Times New Roman" w:hAnsi="Times New Roman" w:cs="Times New Roman"/>
                <w:sz w:val="22"/>
                <w:szCs w:val="22"/>
              </w:rPr>
            </w:pPr>
            <w:r w:rsidRPr="00266CB4">
              <w:rPr>
                <w:rFonts w:ascii="Times New Roman" w:hAnsi="Times New Roman" w:cs="Times New Roman"/>
                <w:sz w:val="22"/>
                <w:szCs w:val="22"/>
              </w:rPr>
              <w:t>Progresión en aprendizajes</w:t>
            </w:r>
          </w:p>
        </w:tc>
        <w:tc>
          <w:tcPr>
            <w:tcW w:w="5090" w:type="dxa"/>
            <w:tcBorders>
              <w:left w:val="single" w:sz="4" w:space="0" w:color="auto"/>
              <w:right w:val="single" w:sz="4" w:space="0" w:color="auto"/>
            </w:tcBorders>
          </w:tcPr>
          <w:p w14:paraId="26449B46" w14:textId="77777777" w:rsidR="00642B68" w:rsidRPr="00266CB4" w:rsidRDefault="00642B68" w:rsidP="00266CB4">
            <w:pPr>
              <w:pStyle w:val="Prrafodelista"/>
              <w:numPr>
                <w:ilvl w:val="0"/>
                <w:numId w:val="7"/>
              </w:numPr>
              <w:autoSpaceDE w:val="0"/>
              <w:autoSpaceDN w:val="0"/>
              <w:adjustRightInd w:val="0"/>
              <w:ind w:left="170" w:hanging="170"/>
              <w:jc w:val="both"/>
              <w:rPr>
                <w:rFonts w:ascii="Times New Roman" w:hAnsi="Times New Roman" w:cs="Times New Roman"/>
                <w:sz w:val="22"/>
                <w:szCs w:val="22"/>
              </w:rPr>
            </w:pPr>
            <w:r w:rsidRPr="00266CB4">
              <w:rPr>
                <w:rFonts w:ascii="Times New Roman" w:hAnsi="Times New Roman" w:cs="Times New Roman"/>
                <w:sz w:val="22"/>
                <w:szCs w:val="22"/>
              </w:rPr>
              <w:t xml:space="preserve">Ampliar el grado de complejidad de las tareas </w:t>
            </w:r>
          </w:p>
        </w:tc>
        <w:tc>
          <w:tcPr>
            <w:tcW w:w="600" w:type="dxa"/>
            <w:tcBorders>
              <w:left w:val="single" w:sz="4" w:space="0" w:color="auto"/>
            </w:tcBorders>
          </w:tcPr>
          <w:p w14:paraId="3105A6B8"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2</w:t>
            </w:r>
          </w:p>
        </w:tc>
        <w:tc>
          <w:tcPr>
            <w:tcW w:w="543" w:type="dxa"/>
          </w:tcPr>
          <w:p w14:paraId="40D9B5F6"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5</w:t>
            </w:r>
          </w:p>
        </w:tc>
        <w:tc>
          <w:tcPr>
            <w:tcW w:w="415" w:type="dxa"/>
            <w:tcBorders>
              <w:right w:val="single" w:sz="4" w:space="0" w:color="auto"/>
            </w:tcBorders>
          </w:tcPr>
          <w:p w14:paraId="7B268564"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0</w:t>
            </w:r>
          </w:p>
        </w:tc>
        <w:tc>
          <w:tcPr>
            <w:tcW w:w="688" w:type="dxa"/>
            <w:tcBorders>
              <w:left w:val="single" w:sz="4" w:space="0" w:color="auto"/>
            </w:tcBorders>
          </w:tcPr>
          <w:p w14:paraId="0FD8442B"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7</w:t>
            </w:r>
          </w:p>
        </w:tc>
      </w:tr>
      <w:tr w:rsidR="00642B68" w:rsidRPr="00266CB4" w14:paraId="1455F1E4" w14:textId="77777777" w:rsidTr="00AF58D1">
        <w:tc>
          <w:tcPr>
            <w:tcW w:w="1384" w:type="dxa"/>
            <w:tcBorders>
              <w:right w:val="single" w:sz="4" w:space="0" w:color="auto"/>
            </w:tcBorders>
          </w:tcPr>
          <w:p w14:paraId="2002E011" w14:textId="77777777" w:rsidR="00642B68" w:rsidRPr="00266CB4" w:rsidRDefault="00642B68" w:rsidP="00266CB4">
            <w:pPr>
              <w:autoSpaceDE w:val="0"/>
              <w:autoSpaceDN w:val="0"/>
              <w:adjustRightInd w:val="0"/>
              <w:rPr>
                <w:rFonts w:ascii="Times New Roman" w:hAnsi="Times New Roman" w:cs="Times New Roman"/>
                <w:sz w:val="22"/>
                <w:szCs w:val="22"/>
              </w:rPr>
            </w:pPr>
            <w:r w:rsidRPr="00266CB4">
              <w:rPr>
                <w:rFonts w:ascii="Times New Roman" w:hAnsi="Times New Roman" w:cs="Times New Roman"/>
                <w:sz w:val="22"/>
                <w:szCs w:val="22"/>
              </w:rPr>
              <w:t>Evaluación</w:t>
            </w:r>
          </w:p>
        </w:tc>
        <w:tc>
          <w:tcPr>
            <w:tcW w:w="5090" w:type="dxa"/>
            <w:tcBorders>
              <w:left w:val="single" w:sz="4" w:space="0" w:color="auto"/>
              <w:right w:val="single" w:sz="4" w:space="0" w:color="auto"/>
            </w:tcBorders>
          </w:tcPr>
          <w:p w14:paraId="295AA9D8" w14:textId="77777777" w:rsidR="00642B68" w:rsidRPr="00266CB4" w:rsidRDefault="00642B68" w:rsidP="00266CB4">
            <w:pPr>
              <w:pStyle w:val="Prrafodelista"/>
              <w:numPr>
                <w:ilvl w:val="0"/>
                <w:numId w:val="7"/>
              </w:numPr>
              <w:autoSpaceDE w:val="0"/>
              <w:autoSpaceDN w:val="0"/>
              <w:adjustRightInd w:val="0"/>
              <w:ind w:left="170" w:hanging="170"/>
              <w:jc w:val="both"/>
              <w:rPr>
                <w:rFonts w:ascii="Times New Roman" w:hAnsi="Times New Roman" w:cs="Times New Roman"/>
                <w:sz w:val="22"/>
                <w:szCs w:val="22"/>
              </w:rPr>
            </w:pPr>
            <w:r w:rsidRPr="00266CB4">
              <w:rPr>
                <w:rFonts w:ascii="Times New Roman" w:hAnsi="Times New Roman" w:cs="Times New Roman"/>
                <w:sz w:val="22"/>
                <w:szCs w:val="22"/>
              </w:rPr>
              <w:t xml:space="preserve">Cambiar configuración “repasa” por tareas reales de autoevaluación </w:t>
            </w:r>
          </w:p>
        </w:tc>
        <w:tc>
          <w:tcPr>
            <w:tcW w:w="600" w:type="dxa"/>
            <w:tcBorders>
              <w:left w:val="single" w:sz="4" w:space="0" w:color="auto"/>
            </w:tcBorders>
          </w:tcPr>
          <w:p w14:paraId="163289C1"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6</w:t>
            </w:r>
          </w:p>
        </w:tc>
        <w:tc>
          <w:tcPr>
            <w:tcW w:w="543" w:type="dxa"/>
          </w:tcPr>
          <w:p w14:paraId="2BDB7320"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17</w:t>
            </w:r>
          </w:p>
        </w:tc>
        <w:tc>
          <w:tcPr>
            <w:tcW w:w="415" w:type="dxa"/>
            <w:tcBorders>
              <w:right w:val="single" w:sz="4" w:space="0" w:color="auto"/>
            </w:tcBorders>
          </w:tcPr>
          <w:p w14:paraId="1CDC6D71"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0</w:t>
            </w:r>
          </w:p>
        </w:tc>
        <w:tc>
          <w:tcPr>
            <w:tcW w:w="688" w:type="dxa"/>
            <w:tcBorders>
              <w:left w:val="single" w:sz="4" w:space="0" w:color="auto"/>
            </w:tcBorders>
          </w:tcPr>
          <w:p w14:paraId="4F5F4138"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23</w:t>
            </w:r>
          </w:p>
        </w:tc>
      </w:tr>
      <w:tr w:rsidR="00642B68" w:rsidRPr="00266CB4" w14:paraId="634441CC" w14:textId="77777777" w:rsidTr="00AF58D1">
        <w:tc>
          <w:tcPr>
            <w:tcW w:w="1384" w:type="dxa"/>
            <w:tcBorders>
              <w:right w:val="single" w:sz="4" w:space="0" w:color="auto"/>
            </w:tcBorders>
          </w:tcPr>
          <w:p w14:paraId="402D6490" w14:textId="77777777" w:rsidR="00642B68" w:rsidRPr="00266CB4" w:rsidRDefault="00642B68" w:rsidP="00266CB4">
            <w:pPr>
              <w:autoSpaceDE w:val="0"/>
              <w:autoSpaceDN w:val="0"/>
              <w:adjustRightInd w:val="0"/>
              <w:rPr>
                <w:rFonts w:ascii="Times New Roman" w:hAnsi="Times New Roman" w:cs="Times New Roman"/>
                <w:sz w:val="22"/>
                <w:szCs w:val="22"/>
              </w:rPr>
            </w:pPr>
            <w:r w:rsidRPr="00266CB4">
              <w:rPr>
                <w:rFonts w:ascii="Times New Roman" w:hAnsi="Times New Roman" w:cs="Times New Roman"/>
                <w:sz w:val="22"/>
                <w:szCs w:val="22"/>
              </w:rPr>
              <w:t>Actitudes/</w:t>
            </w:r>
            <w:r w:rsidRPr="00266CB4">
              <w:rPr>
                <w:rFonts w:ascii="Times New Roman" w:hAnsi="Times New Roman" w:cs="Times New Roman"/>
                <w:sz w:val="22"/>
                <w:szCs w:val="22"/>
              </w:rPr>
              <w:br/>
              <w:t>Emociones</w:t>
            </w:r>
          </w:p>
        </w:tc>
        <w:tc>
          <w:tcPr>
            <w:tcW w:w="5090" w:type="dxa"/>
            <w:tcBorders>
              <w:left w:val="single" w:sz="4" w:space="0" w:color="auto"/>
              <w:right w:val="single" w:sz="4" w:space="0" w:color="auto"/>
            </w:tcBorders>
          </w:tcPr>
          <w:p w14:paraId="2877ACA6" w14:textId="77777777" w:rsidR="00642B68" w:rsidRPr="00266CB4" w:rsidRDefault="00642B68" w:rsidP="00266CB4">
            <w:pPr>
              <w:pStyle w:val="Prrafodelista"/>
              <w:numPr>
                <w:ilvl w:val="0"/>
                <w:numId w:val="7"/>
              </w:numPr>
              <w:autoSpaceDE w:val="0"/>
              <w:autoSpaceDN w:val="0"/>
              <w:adjustRightInd w:val="0"/>
              <w:ind w:left="170" w:hanging="170"/>
              <w:rPr>
                <w:rFonts w:ascii="Times New Roman" w:hAnsi="Times New Roman" w:cs="Times New Roman"/>
                <w:sz w:val="22"/>
                <w:szCs w:val="22"/>
              </w:rPr>
            </w:pPr>
            <w:r w:rsidRPr="00266CB4">
              <w:rPr>
                <w:rFonts w:ascii="Times New Roman" w:hAnsi="Times New Roman" w:cs="Times New Roman"/>
                <w:sz w:val="22"/>
                <w:szCs w:val="22"/>
              </w:rPr>
              <w:t xml:space="preserve">Proponer situaciones donde los alumnos conjeturen y exploren otros métodos </w:t>
            </w:r>
          </w:p>
          <w:p w14:paraId="122728F6" w14:textId="77777777" w:rsidR="00642B68" w:rsidRPr="00266CB4" w:rsidRDefault="00642B68" w:rsidP="00266CB4">
            <w:pPr>
              <w:pStyle w:val="Prrafodelista"/>
              <w:numPr>
                <w:ilvl w:val="0"/>
                <w:numId w:val="7"/>
              </w:numPr>
              <w:autoSpaceDE w:val="0"/>
              <w:autoSpaceDN w:val="0"/>
              <w:adjustRightInd w:val="0"/>
              <w:ind w:left="170" w:hanging="170"/>
              <w:rPr>
                <w:rFonts w:ascii="Times New Roman" w:hAnsi="Times New Roman" w:cs="Times New Roman"/>
                <w:sz w:val="22"/>
                <w:szCs w:val="22"/>
              </w:rPr>
            </w:pPr>
            <w:r w:rsidRPr="00266CB4">
              <w:rPr>
                <w:rFonts w:ascii="Times New Roman" w:hAnsi="Times New Roman" w:cs="Times New Roman"/>
                <w:sz w:val="22"/>
                <w:szCs w:val="22"/>
              </w:rPr>
              <w:t>Proponer actividades más atractivas e interesantes</w:t>
            </w:r>
            <w:r w:rsidRPr="00266CB4" w:rsidDel="007619E2">
              <w:rPr>
                <w:rFonts w:ascii="Times New Roman" w:hAnsi="Times New Roman" w:cs="Times New Roman"/>
                <w:sz w:val="22"/>
                <w:szCs w:val="22"/>
              </w:rPr>
              <w:t xml:space="preserve"> </w:t>
            </w:r>
          </w:p>
        </w:tc>
        <w:tc>
          <w:tcPr>
            <w:tcW w:w="600" w:type="dxa"/>
            <w:tcBorders>
              <w:left w:val="single" w:sz="4" w:space="0" w:color="auto"/>
            </w:tcBorders>
          </w:tcPr>
          <w:p w14:paraId="035B11E1"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5</w:t>
            </w:r>
          </w:p>
        </w:tc>
        <w:tc>
          <w:tcPr>
            <w:tcW w:w="543" w:type="dxa"/>
          </w:tcPr>
          <w:p w14:paraId="57C9942B"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2</w:t>
            </w:r>
          </w:p>
        </w:tc>
        <w:tc>
          <w:tcPr>
            <w:tcW w:w="415" w:type="dxa"/>
            <w:tcBorders>
              <w:right w:val="single" w:sz="4" w:space="0" w:color="auto"/>
            </w:tcBorders>
          </w:tcPr>
          <w:p w14:paraId="6B460EA2"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3</w:t>
            </w:r>
          </w:p>
        </w:tc>
        <w:tc>
          <w:tcPr>
            <w:tcW w:w="688" w:type="dxa"/>
            <w:tcBorders>
              <w:left w:val="single" w:sz="4" w:space="0" w:color="auto"/>
            </w:tcBorders>
          </w:tcPr>
          <w:p w14:paraId="79AC54F5"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10</w:t>
            </w:r>
          </w:p>
        </w:tc>
      </w:tr>
      <w:tr w:rsidR="00642B68" w:rsidRPr="00266CB4" w14:paraId="6CC6954A" w14:textId="77777777" w:rsidTr="00AF58D1">
        <w:tc>
          <w:tcPr>
            <w:tcW w:w="1384" w:type="dxa"/>
            <w:tcBorders>
              <w:top w:val="single" w:sz="4" w:space="0" w:color="auto"/>
              <w:bottom w:val="single" w:sz="12" w:space="0" w:color="auto"/>
              <w:right w:val="single" w:sz="4" w:space="0" w:color="auto"/>
            </w:tcBorders>
          </w:tcPr>
          <w:p w14:paraId="4C9D269F" w14:textId="77777777" w:rsidR="00642B68" w:rsidRPr="00266CB4" w:rsidRDefault="00642B68" w:rsidP="00266CB4">
            <w:pPr>
              <w:autoSpaceDE w:val="0"/>
              <w:autoSpaceDN w:val="0"/>
              <w:adjustRightInd w:val="0"/>
              <w:rPr>
                <w:rFonts w:ascii="Times New Roman" w:hAnsi="Times New Roman" w:cs="Times New Roman"/>
                <w:sz w:val="22"/>
                <w:szCs w:val="22"/>
              </w:rPr>
            </w:pPr>
            <w:r w:rsidRPr="00266CB4">
              <w:rPr>
                <w:rFonts w:ascii="Times New Roman" w:hAnsi="Times New Roman" w:cs="Times New Roman"/>
                <w:sz w:val="22"/>
                <w:szCs w:val="22"/>
              </w:rPr>
              <w:t>Total</w:t>
            </w:r>
          </w:p>
        </w:tc>
        <w:tc>
          <w:tcPr>
            <w:tcW w:w="5090" w:type="dxa"/>
            <w:tcBorders>
              <w:top w:val="single" w:sz="4" w:space="0" w:color="auto"/>
              <w:left w:val="single" w:sz="4" w:space="0" w:color="auto"/>
              <w:bottom w:val="single" w:sz="12" w:space="0" w:color="auto"/>
              <w:right w:val="single" w:sz="4" w:space="0" w:color="auto"/>
            </w:tcBorders>
          </w:tcPr>
          <w:p w14:paraId="43DF70BC" w14:textId="77777777" w:rsidR="00642B68" w:rsidRPr="00266CB4" w:rsidRDefault="00642B68" w:rsidP="00266CB4">
            <w:pPr>
              <w:autoSpaceDE w:val="0"/>
              <w:autoSpaceDN w:val="0"/>
              <w:adjustRightInd w:val="0"/>
              <w:jc w:val="center"/>
              <w:rPr>
                <w:rFonts w:ascii="Times New Roman" w:hAnsi="Times New Roman" w:cs="Times New Roman"/>
                <w:sz w:val="22"/>
                <w:szCs w:val="22"/>
              </w:rPr>
            </w:pPr>
          </w:p>
        </w:tc>
        <w:tc>
          <w:tcPr>
            <w:tcW w:w="600" w:type="dxa"/>
            <w:tcBorders>
              <w:top w:val="single" w:sz="4" w:space="0" w:color="auto"/>
              <w:left w:val="single" w:sz="4" w:space="0" w:color="auto"/>
              <w:bottom w:val="single" w:sz="12" w:space="0" w:color="auto"/>
            </w:tcBorders>
          </w:tcPr>
          <w:p w14:paraId="6DF4C75E"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17</w:t>
            </w:r>
          </w:p>
        </w:tc>
        <w:tc>
          <w:tcPr>
            <w:tcW w:w="543" w:type="dxa"/>
            <w:tcBorders>
              <w:top w:val="single" w:sz="4" w:space="0" w:color="auto"/>
              <w:bottom w:val="single" w:sz="12" w:space="0" w:color="auto"/>
            </w:tcBorders>
          </w:tcPr>
          <w:p w14:paraId="629150A4"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29</w:t>
            </w:r>
          </w:p>
        </w:tc>
        <w:tc>
          <w:tcPr>
            <w:tcW w:w="415" w:type="dxa"/>
            <w:tcBorders>
              <w:top w:val="single" w:sz="4" w:space="0" w:color="auto"/>
              <w:bottom w:val="single" w:sz="12" w:space="0" w:color="auto"/>
              <w:right w:val="single" w:sz="4" w:space="0" w:color="auto"/>
            </w:tcBorders>
          </w:tcPr>
          <w:p w14:paraId="7BCF8834"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6</w:t>
            </w:r>
          </w:p>
        </w:tc>
        <w:tc>
          <w:tcPr>
            <w:tcW w:w="688" w:type="dxa"/>
            <w:tcBorders>
              <w:top w:val="single" w:sz="4" w:space="0" w:color="auto"/>
              <w:left w:val="single" w:sz="4" w:space="0" w:color="auto"/>
              <w:bottom w:val="single" w:sz="12" w:space="0" w:color="auto"/>
            </w:tcBorders>
          </w:tcPr>
          <w:p w14:paraId="63A930EB" w14:textId="77777777" w:rsidR="00642B68" w:rsidRPr="00266CB4" w:rsidRDefault="00642B68" w:rsidP="00266CB4">
            <w:pPr>
              <w:autoSpaceDE w:val="0"/>
              <w:autoSpaceDN w:val="0"/>
              <w:adjustRightInd w:val="0"/>
              <w:jc w:val="center"/>
              <w:rPr>
                <w:rFonts w:ascii="Times New Roman" w:hAnsi="Times New Roman" w:cs="Times New Roman"/>
                <w:sz w:val="22"/>
                <w:szCs w:val="22"/>
              </w:rPr>
            </w:pPr>
            <w:r w:rsidRPr="00266CB4">
              <w:rPr>
                <w:rFonts w:ascii="Times New Roman" w:hAnsi="Times New Roman" w:cs="Times New Roman"/>
                <w:sz w:val="22"/>
                <w:szCs w:val="22"/>
              </w:rPr>
              <w:t>52</w:t>
            </w:r>
          </w:p>
        </w:tc>
      </w:tr>
    </w:tbl>
    <w:bookmarkEnd w:id="2"/>
    <w:p w14:paraId="0F26D728" w14:textId="534F7C72" w:rsidR="00266CB4" w:rsidRDefault="00642B68" w:rsidP="00266CB4">
      <w:pPr>
        <w:spacing w:after="120"/>
        <w:ind w:firstLine="709"/>
        <w:jc w:val="both"/>
      </w:pPr>
      <w:r w:rsidRPr="00642B68">
        <w:rPr>
          <w:rFonts w:ascii="Times New Roman" w:eastAsia="Times New Roman" w:hAnsi="Times New Roman" w:cs="Times New Roman"/>
          <w:sz w:val="22"/>
          <w:szCs w:val="22"/>
          <w:lang w:val="la"/>
        </w:rPr>
        <w:t>Los participantes plantean propuestas de solución al 31,14% de los conflictos cognitivo-afectivos identificados. De estas, el 63,46 % se consideran con cierta pertinencia. La mayoría se centran en incluir en cada configuración, o bien globalmente al final de la lección, unas actividades de autoevaluación que deben venir resueltas al final del libro del alumno. En algunas de las propuestas, los MF consideran también un buen momento para incluir diversas estrategias de solución. Así MF39 indica:</w:t>
      </w:r>
      <w:r w:rsidR="00266CB4" w:rsidRPr="00266CB4">
        <w:t xml:space="preserve"> </w:t>
      </w:r>
    </w:p>
    <w:p w14:paraId="1086DECE" w14:textId="2B12E6A3" w:rsidR="00266CB4" w:rsidRPr="00266CB4" w:rsidRDefault="00266CB4" w:rsidP="00266CB4">
      <w:pPr>
        <w:spacing w:after="120"/>
        <w:ind w:left="1418"/>
        <w:jc w:val="both"/>
        <w:rPr>
          <w:rFonts w:ascii="Times New Roman" w:eastAsia="Times New Roman" w:hAnsi="Times New Roman" w:cs="Times New Roman"/>
          <w:sz w:val="22"/>
          <w:szCs w:val="22"/>
          <w:lang w:val="la"/>
        </w:rPr>
      </w:pPr>
      <w:r w:rsidRPr="00266CB4">
        <w:rPr>
          <w:rFonts w:ascii="Times New Roman" w:eastAsia="Times New Roman" w:hAnsi="Times New Roman" w:cs="Times New Roman"/>
          <w:sz w:val="22"/>
          <w:szCs w:val="22"/>
          <w:lang w:val="la"/>
        </w:rPr>
        <w:t>Al final de la lección, dedicaría una sección de EVALUACIÓN y AUTOEVALUACIÓN, con problemas que incluyeran distintas maneras de darles solución … Así se solucionaría el tener que llevar a cabo una evaluación a parte y que ellos mismos vean su evolución y sus puntos débiles y fuertes.</w:t>
      </w:r>
    </w:p>
    <w:p w14:paraId="211E4487" w14:textId="77777777" w:rsidR="00266CB4" w:rsidRPr="00266CB4" w:rsidRDefault="00266CB4" w:rsidP="00266CB4">
      <w:pPr>
        <w:spacing w:after="120"/>
        <w:ind w:firstLine="709"/>
        <w:jc w:val="both"/>
        <w:rPr>
          <w:rFonts w:ascii="Times New Roman" w:eastAsia="Times New Roman" w:hAnsi="Times New Roman" w:cs="Times New Roman"/>
          <w:sz w:val="22"/>
          <w:szCs w:val="22"/>
          <w:lang w:val="la"/>
        </w:rPr>
      </w:pPr>
      <w:r w:rsidRPr="00266CB4">
        <w:rPr>
          <w:rFonts w:ascii="Times New Roman" w:eastAsia="Times New Roman" w:hAnsi="Times New Roman" w:cs="Times New Roman"/>
          <w:sz w:val="22"/>
          <w:szCs w:val="22"/>
          <w:lang w:val="la"/>
        </w:rPr>
        <w:t>Por otro lado, plantean comenzar la lección con unas actividades introductorias que permitan detectar qué conocimientos previos, con relación a fracciones, equivalencia de fracciones o medida de magnitudes, disponen los alumnos. Por ejemplo, MF4 indica:</w:t>
      </w:r>
    </w:p>
    <w:p w14:paraId="2137B1A8" w14:textId="77777777" w:rsidR="00266CB4" w:rsidRPr="00266CB4" w:rsidRDefault="00266CB4" w:rsidP="00266CB4">
      <w:pPr>
        <w:spacing w:after="120"/>
        <w:ind w:left="1418"/>
        <w:jc w:val="both"/>
        <w:rPr>
          <w:rFonts w:ascii="Times New Roman" w:eastAsia="Times New Roman" w:hAnsi="Times New Roman" w:cs="Times New Roman"/>
          <w:sz w:val="22"/>
          <w:szCs w:val="22"/>
          <w:lang w:val="la"/>
        </w:rPr>
      </w:pPr>
      <w:r w:rsidRPr="00266CB4">
        <w:rPr>
          <w:rFonts w:ascii="Times New Roman" w:eastAsia="Times New Roman" w:hAnsi="Times New Roman" w:cs="Times New Roman"/>
          <w:sz w:val="22"/>
          <w:szCs w:val="22"/>
          <w:lang w:val="la"/>
        </w:rPr>
        <w:t>me centraría en conocer conocimientos previos como el uso de fracciones o si saben que es una magnitud, para ello se podría realizar un cuestionario previo debido a que, muchas veces nos anticipamos a lo que los alumnos saben y conocen.</w:t>
      </w:r>
    </w:p>
    <w:p w14:paraId="70A73FDD" w14:textId="77777777" w:rsidR="00266CB4" w:rsidRPr="00266CB4" w:rsidRDefault="00266CB4" w:rsidP="00266CB4">
      <w:pPr>
        <w:spacing w:after="120"/>
        <w:ind w:firstLine="709"/>
        <w:jc w:val="both"/>
        <w:rPr>
          <w:rFonts w:ascii="Times New Roman" w:eastAsia="Times New Roman" w:hAnsi="Times New Roman" w:cs="Times New Roman"/>
          <w:sz w:val="22"/>
          <w:szCs w:val="22"/>
          <w:lang w:val="la"/>
        </w:rPr>
      </w:pPr>
      <w:r w:rsidRPr="00266CB4">
        <w:rPr>
          <w:rFonts w:ascii="Times New Roman" w:eastAsia="Times New Roman" w:hAnsi="Times New Roman" w:cs="Times New Roman"/>
          <w:sz w:val="22"/>
          <w:szCs w:val="22"/>
          <w:lang w:val="la"/>
        </w:rPr>
        <w:t xml:space="preserve">Para garantizar una adecuada progresión en los aprendizajes consideran necesario aumentar el nivel de complejidad, si bien no llegan a concretar tipos de actividades con las que lograría ese incremento. También proponen advertir </w:t>
      </w:r>
      <w:r w:rsidRPr="00266CB4">
        <w:rPr>
          <w:rFonts w:ascii="Times New Roman" w:eastAsia="Times New Roman" w:hAnsi="Times New Roman" w:cs="Times New Roman"/>
          <w:sz w:val="22"/>
          <w:szCs w:val="22"/>
          <w:lang w:val="la"/>
        </w:rPr>
        <w:lastRenderedPageBreak/>
        <w:t>a los alumnos de posibles dificultades con ciertos contenidos o errores frecuentes:</w:t>
      </w:r>
    </w:p>
    <w:p w14:paraId="5B49E636" w14:textId="77777777" w:rsidR="00266CB4" w:rsidRPr="00266CB4" w:rsidRDefault="00266CB4" w:rsidP="00266CB4">
      <w:pPr>
        <w:spacing w:after="120"/>
        <w:ind w:left="1418"/>
        <w:jc w:val="both"/>
        <w:rPr>
          <w:rFonts w:ascii="Times New Roman" w:eastAsia="Times New Roman" w:hAnsi="Times New Roman" w:cs="Times New Roman"/>
          <w:sz w:val="22"/>
          <w:szCs w:val="22"/>
          <w:lang w:val="la"/>
        </w:rPr>
      </w:pPr>
      <w:r w:rsidRPr="00266CB4">
        <w:rPr>
          <w:rFonts w:ascii="Times New Roman" w:eastAsia="Times New Roman" w:hAnsi="Times New Roman" w:cs="Times New Roman"/>
          <w:sz w:val="22"/>
          <w:szCs w:val="22"/>
          <w:lang w:val="la"/>
        </w:rPr>
        <w:t>Solucionaría este conflicto añadiendo antes de la explicación del autor acerca del contenido a explicar en cada configuración, advertencias acerca de qué dificultades se pueden encontrar los alumnos en este apartado. Qué les puede resultar más complejo y los errores más comunes que suelen tener los alumnos en su comprensión (MF21).</w:t>
      </w:r>
    </w:p>
    <w:p w14:paraId="4D29E8A9" w14:textId="2B65FA81" w:rsidR="00642B68" w:rsidRDefault="00266CB4" w:rsidP="00266CB4">
      <w:pPr>
        <w:spacing w:after="120"/>
        <w:ind w:firstLine="709"/>
        <w:jc w:val="both"/>
        <w:rPr>
          <w:rFonts w:ascii="Times New Roman" w:eastAsia="Times New Roman" w:hAnsi="Times New Roman" w:cs="Times New Roman"/>
          <w:sz w:val="22"/>
          <w:szCs w:val="22"/>
          <w:lang w:val="la"/>
        </w:rPr>
      </w:pPr>
      <w:r w:rsidRPr="00266CB4">
        <w:rPr>
          <w:rFonts w:ascii="Times New Roman" w:eastAsia="Times New Roman" w:hAnsi="Times New Roman" w:cs="Times New Roman"/>
          <w:sz w:val="22"/>
          <w:szCs w:val="22"/>
          <w:lang w:val="la"/>
        </w:rPr>
        <w:t>En el aspecto afectivo, plantean como propuesta de mejora incluir “actividades que fomenten la curiosidad” (MF16), “no tan rutinarias, actividades más atractivas” (MF25). También creen que mejoraría el aspecto afectivo de la lección proponer situaciones donde los alumnos conjeturen y exploren ideas o métodos alternativos (MF17), pero no concretizan de qué forma.</w:t>
      </w:r>
    </w:p>
    <w:p w14:paraId="60C291EA" w14:textId="4B71E885" w:rsidR="00266CB4" w:rsidRPr="008D4248" w:rsidRDefault="00266CB4" w:rsidP="00266CB4">
      <w:pPr>
        <w:keepNext/>
        <w:spacing w:after="120"/>
        <w:rPr>
          <w:rFonts w:ascii="Times New Roman" w:eastAsia="Times New Roman" w:hAnsi="Times New Roman" w:cs="Times New Roman"/>
          <w:b/>
          <w:bCs/>
          <w:sz w:val="22"/>
          <w:szCs w:val="22"/>
        </w:rPr>
      </w:pPr>
      <w:bookmarkStart w:id="3" w:name="_Hlk106361341"/>
      <w:r w:rsidRPr="008D4248">
        <w:rPr>
          <w:rFonts w:ascii="Times New Roman" w:eastAsia="Times New Roman" w:hAnsi="Times New Roman" w:cs="Times New Roman"/>
          <w:b/>
          <w:bCs/>
          <w:sz w:val="22"/>
          <w:szCs w:val="22"/>
        </w:rPr>
        <w:t xml:space="preserve">Tabla </w:t>
      </w:r>
      <w:r>
        <w:rPr>
          <w:rFonts w:ascii="Times New Roman" w:eastAsia="Times New Roman" w:hAnsi="Times New Roman" w:cs="Times New Roman"/>
          <w:b/>
          <w:bCs/>
          <w:sz w:val="22"/>
          <w:szCs w:val="22"/>
        </w:rPr>
        <w:t>6</w:t>
      </w:r>
    </w:p>
    <w:p w14:paraId="29DD641E" w14:textId="1F4DECD2" w:rsidR="00266CB4" w:rsidRPr="00266CB4" w:rsidRDefault="00266CB4" w:rsidP="00266CB4">
      <w:pPr>
        <w:spacing w:after="120"/>
        <w:rPr>
          <w:rFonts w:ascii="Times New Roman" w:eastAsia="Times New Roman" w:hAnsi="Times New Roman" w:cs="Times New Roman"/>
          <w:i/>
          <w:iCs/>
          <w:sz w:val="22"/>
          <w:szCs w:val="22"/>
        </w:rPr>
      </w:pPr>
      <w:r w:rsidRPr="00266CB4">
        <w:rPr>
          <w:rFonts w:ascii="Times New Roman" w:eastAsia="Times New Roman" w:hAnsi="Times New Roman" w:cs="Times New Roman"/>
          <w:i/>
          <w:iCs/>
          <w:sz w:val="22"/>
          <w:szCs w:val="22"/>
        </w:rPr>
        <w:t>Propuesta de mejora y solución a conflictos instruccionales. Grado de pertinencia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3032"/>
        <w:gridCol w:w="526"/>
        <w:gridCol w:w="545"/>
        <w:gridCol w:w="373"/>
        <w:gridCol w:w="673"/>
      </w:tblGrid>
      <w:tr w:rsidR="00266CB4" w:rsidRPr="00B81C6C" w14:paraId="38F5BCD7" w14:textId="77777777" w:rsidTr="00AF58D1">
        <w:trPr>
          <w:trHeight w:val="513"/>
        </w:trPr>
        <w:tc>
          <w:tcPr>
            <w:tcW w:w="2023" w:type="dxa"/>
            <w:vMerge w:val="restart"/>
            <w:tcBorders>
              <w:top w:val="single" w:sz="12" w:space="0" w:color="auto"/>
              <w:right w:val="single" w:sz="4" w:space="0" w:color="auto"/>
            </w:tcBorders>
          </w:tcPr>
          <w:p w14:paraId="2D569E81" w14:textId="77777777" w:rsidR="00266CB4" w:rsidRPr="00B81C6C" w:rsidRDefault="00266CB4" w:rsidP="00B81C6C">
            <w:pPr>
              <w:autoSpaceDE w:val="0"/>
              <w:autoSpaceDN w:val="0"/>
              <w:adjustRightInd w:val="0"/>
              <w:rPr>
                <w:rFonts w:ascii="Times New Roman" w:hAnsi="Times New Roman" w:cs="Times New Roman"/>
                <w:sz w:val="22"/>
                <w:szCs w:val="22"/>
              </w:rPr>
            </w:pPr>
            <w:r w:rsidRPr="00B81C6C">
              <w:rPr>
                <w:rFonts w:ascii="Times New Roman" w:hAnsi="Times New Roman" w:cs="Times New Roman"/>
                <w:sz w:val="22"/>
                <w:szCs w:val="22"/>
              </w:rPr>
              <w:t xml:space="preserve">Componente </w:t>
            </w:r>
          </w:p>
        </w:tc>
        <w:tc>
          <w:tcPr>
            <w:tcW w:w="4347" w:type="dxa"/>
            <w:tcBorders>
              <w:top w:val="single" w:sz="12" w:space="0" w:color="auto"/>
              <w:left w:val="single" w:sz="4" w:space="0" w:color="auto"/>
              <w:right w:val="single" w:sz="4" w:space="0" w:color="auto"/>
            </w:tcBorders>
          </w:tcPr>
          <w:p w14:paraId="6F0B78E7" w14:textId="77777777" w:rsidR="00266CB4" w:rsidRPr="00B81C6C" w:rsidRDefault="00266CB4" w:rsidP="00B81C6C">
            <w:pPr>
              <w:autoSpaceDE w:val="0"/>
              <w:autoSpaceDN w:val="0"/>
              <w:adjustRightInd w:val="0"/>
              <w:rPr>
                <w:rFonts w:ascii="Times New Roman" w:hAnsi="Times New Roman" w:cs="Times New Roman"/>
                <w:sz w:val="22"/>
                <w:szCs w:val="22"/>
              </w:rPr>
            </w:pPr>
            <w:r w:rsidRPr="00B81C6C">
              <w:rPr>
                <w:rFonts w:ascii="Times New Roman" w:hAnsi="Times New Roman" w:cs="Times New Roman"/>
                <w:sz w:val="22"/>
                <w:szCs w:val="22"/>
              </w:rPr>
              <w:t>Sugerencias de mejora</w:t>
            </w:r>
          </w:p>
        </w:tc>
        <w:tc>
          <w:tcPr>
            <w:tcW w:w="2203" w:type="dxa"/>
            <w:gridSpan w:val="4"/>
            <w:tcBorders>
              <w:top w:val="single" w:sz="12" w:space="0" w:color="auto"/>
              <w:left w:val="single" w:sz="4" w:space="0" w:color="auto"/>
            </w:tcBorders>
          </w:tcPr>
          <w:p w14:paraId="262A1F0B" w14:textId="1A8E2725"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Propuesta efectiva de solución al conflicto</w:t>
            </w:r>
          </w:p>
        </w:tc>
      </w:tr>
      <w:tr w:rsidR="00266CB4" w:rsidRPr="00B81C6C" w14:paraId="1953291D" w14:textId="77777777" w:rsidTr="00AF58D1">
        <w:trPr>
          <w:trHeight w:val="268"/>
        </w:trPr>
        <w:tc>
          <w:tcPr>
            <w:tcW w:w="2023" w:type="dxa"/>
            <w:vMerge/>
            <w:tcBorders>
              <w:bottom w:val="double" w:sz="4" w:space="0" w:color="auto"/>
              <w:right w:val="single" w:sz="4" w:space="0" w:color="auto"/>
            </w:tcBorders>
          </w:tcPr>
          <w:p w14:paraId="465A67C3" w14:textId="77777777" w:rsidR="00266CB4" w:rsidRPr="00B81C6C" w:rsidRDefault="00266CB4" w:rsidP="00B81C6C">
            <w:pPr>
              <w:autoSpaceDE w:val="0"/>
              <w:autoSpaceDN w:val="0"/>
              <w:adjustRightInd w:val="0"/>
              <w:rPr>
                <w:rFonts w:ascii="Times New Roman" w:hAnsi="Times New Roman" w:cs="Times New Roman"/>
                <w:sz w:val="22"/>
                <w:szCs w:val="22"/>
              </w:rPr>
            </w:pPr>
          </w:p>
        </w:tc>
        <w:tc>
          <w:tcPr>
            <w:tcW w:w="4347" w:type="dxa"/>
            <w:tcBorders>
              <w:left w:val="single" w:sz="4" w:space="0" w:color="auto"/>
              <w:bottom w:val="double" w:sz="4" w:space="0" w:color="auto"/>
              <w:right w:val="single" w:sz="4" w:space="0" w:color="auto"/>
            </w:tcBorders>
          </w:tcPr>
          <w:p w14:paraId="154B6DA6" w14:textId="77777777" w:rsidR="00266CB4" w:rsidRPr="00B81C6C" w:rsidRDefault="00266CB4" w:rsidP="00B81C6C">
            <w:pPr>
              <w:autoSpaceDE w:val="0"/>
              <w:autoSpaceDN w:val="0"/>
              <w:adjustRightInd w:val="0"/>
              <w:rPr>
                <w:rFonts w:ascii="Times New Roman" w:hAnsi="Times New Roman" w:cs="Times New Roman"/>
                <w:sz w:val="22"/>
                <w:szCs w:val="22"/>
              </w:rPr>
            </w:pPr>
          </w:p>
        </w:tc>
        <w:tc>
          <w:tcPr>
            <w:tcW w:w="556" w:type="dxa"/>
            <w:tcBorders>
              <w:top w:val="single" w:sz="4" w:space="0" w:color="auto"/>
              <w:left w:val="single" w:sz="4" w:space="0" w:color="auto"/>
              <w:bottom w:val="double" w:sz="4" w:space="0" w:color="auto"/>
            </w:tcBorders>
          </w:tcPr>
          <w:p w14:paraId="09BA2990"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NP</w:t>
            </w:r>
          </w:p>
        </w:tc>
        <w:tc>
          <w:tcPr>
            <w:tcW w:w="556" w:type="dxa"/>
            <w:tcBorders>
              <w:top w:val="single" w:sz="4" w:space="0" w:color="auto"/>
              <w:bottom w:val="double" w:sz="4" w:space="0" w:color="auto"/>
            </w:tcBorders>
          </w:tcPr>
          <w:p w14:paraId="45D92BE4"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PM</w:t>
            </w:r>
          </w:p>
        </w:tc>
        <w:tc>
          <w:tcPr>
            <w:tcW w:w="410" w:type="dxa"/>
            <w:tcBorders>
              <w:top w:val="single" w:sz="4" w:space="0" w:color="auto"/>
              <w:bottom w:val="double" w:sz="4" w:space="0" w:color="auto"/>
              <w:right w:val="single" w:sz="4" w:space="0" w:color="auto"/>
            </w:tcBorders>
          </w:tcPr>
          <w:p w14:paraId="3775949B"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P</w:t>
            </w:r>
          </w:p>
        </w:tc>
        <w:tc>
          <w:tcPr>
            <w:tcW w:w="681" w:type="dxa"/>
            <w:tcBorders>
              <w:top w:val="single" w:sz="4" w:space="0" w:color="auto"/>
              <w:left w:val="single" w:sz="4" w:space="0" w:color="auto"/>
              <w:bottom w:val="double" w:sz="4" w:space="0" w:color="auto"/>
            </w:tcBorders>
          </w:tcPr>
          <w:p w14:paraId="34D2E2CA" w14:textId="77777777" w:rsidR="00266CB4" w:rsidRPr="00B81C6C" w:rsidRDefault="00266CB4" w:rsidP="00B81C6C">
            <w:pPr>
              <w:autoSpaceDE w:val="0"/>
              <w:autoSpaceDN w:val="0"/>
              <w:adjustRightInd w:val="0"/>
              <w:rPr>
                <w:rFonts w:ascii="Times New Roman" w:hAnsi="Times New Roman" w:cs="Times New Roman"/>
                <w:sz w:val="22"/>
                <w:szCs w:val="22"/>
              </w:rPr>
            </w:pPr>
            <w:r w:rsidRPr="00B81C6C">
              <w:rPr>
                <w:rFonts w:ascii="Times New Roman" w:hAnsi="Times New Roman" w:cs="Times New Roman"/>
                <w:sz w:val="22"/>
                <w:szCs w:val="22"/>
              </w:rPr>
              <w:t>Total</w:t>
            </w:r>
          </w:p>
        </w:tc>
      </w:tr>
      <w:tr w:rsidR="00266CB4" w:rsidRPr="00B81C6C" w14:paraId="4FC23BC3" w14:textId="77777777" w:rsidTr="00AF58D1">
        <w:trPr>
          <w:trHeight w:val="525"/>
        </w:trPr>
        <w:tc>
          <w:tcPr>
            <w:tcW w:w="2023" w:type="dxa"/>
            <w:tcBorders>
              <w:top w:val="double" w:sz="4" w:space="0" w:color="auto"/>
              <w:right w:val="single" w:sz="4" w:space="0" w:color="auto"/>
            </w:tcBorders>
          </w:tcPr>
          <w:p w14:paraId="265D0D30" w14:textId="77777777" w:rsidR="00266CB4" w:rsidRPr="00B81C6C" w:rsidRDefault="00266CB4" w:rsidP="00B81C6C">
            <w:pPr>
              <w:autoSpaceDE w:val="0"/>
              <w:autoSpaceDN w:val="0"/>
              <w:adjustRightInd w:val="0"/>
              <w:rPr>
                <w:rFonts w:ascii="Times New Roman" w:hAnsi="Times New Roman" w:cs="Times New Roman"/>
                <w:sz w:val="22"/>
                <w:szCs w:val="22"/>
              </w:rPr>
            </w:pPr>
            <w:r w:rsidRPr="00B81C6C">
              <w:rPr>
                <w:rFonts w:ascii="Times New Roman" w:hAnsi="Times New Roman" w:cs="Times New Roman"/>
                <w:sz w:val="22"/>
                <w:szCs w:val="22"/>
              </w:rPr>
              <w:t>Interacción autor</w:t>
            </w:r>
            <m:oMath>
              <m:box>
                <m:boxPr>
                  <m:opEmu m:val="1"/>
                  <m:ctrlPr>
                    <w:rPr>
                      <w:rFonts w:ascii="Cambria Math" w:hAnsi="Cambria Math" w:cs="Times New Roman"/>
                      <w:i/>
                      <w:sz w:val="22"/>
                      <w:szCs w:val="22"/>
                    </w:rPr>
                  </m:ctrlPr>
                </m:boxPr>
                <m:e>
                  <m:groupChr>
                    <m:groupChrPr>
                      <m:chr m:val="→"/>
                      <m:vertJc m:val="bot"/>
                      <m:ctrlPr>
                        <w:rPr>
                          <w:rFonts w:ascii="Cambria Math" w:hAnsi="Cambria Math" w:cs="Times New Roman"/>
                          <w:i/>
                          <w:sz w:val="22"/>
                          <w:szCs w:val="22"/>
                        </w:rPr>
                      </m:ctrlPr>
                    </m:groupChrPr>
                    <m:e>
                      <m:r>
                        <w:rPr>
                          <w:rFonts w:ascii="Cambria Math" w:hAnsi="Cambria Math" w:cs="Times New Roman"/>
                          <w:sz w:val="22"/>
                          <w:szCs w:val="22"/>
                        </w:rPr>
                        <m:t xml:space="preserve"> </m:t>
                      </m:r>
                    </m:e>
                  </m:groupChr>
                </m:e>
              </m:box>
            </m:oMath>
            <w:r w:rsidRPr="00B81C6C">
              <w:rPr>
                <w:rFonts w:ascii="Times New Roman" w:hAnsi="Times New Roman" w:cs="Times New Roman"/>
                <w:sz w:val="22"/>
                <w:szCs w:val="22"/>
              </w:rPr>
              <w:t>alumno</w:t>
            </w:r>
          </w:p>
        </w:tc>
        <w:tc>
          <w:tcPr>
            <w:tcW w:w="4347" w:type="dxa"/>
            <w:tcBorders>
              <w:top w:val="double" w:sz="4" w:space="0" w:color="auto"/>
              <w:left w:val="single" w:sz="4" w:space="0" w:color="auto"/>
              <w:right w:val="single" w:sz="4" w:space="0" w:color="auto"/>
            </w:tcBorders>
          </w:tcPr>
          <w:p w14:paraId="5ACFA122" w14:textId="77777777" w:rsidR="00266CB4" w:rsidRPr="00B81C6C" w:rsidRDefault="00266CB4" w:rsidP="00B81C6C">
            <w:pPr>
              <w:pStyle w:val="Prrafodelista"/>
              <w:numPr>
                <w:ilvl w:val="0"/>
                <w:numId w:val="8"/>
              </w:numPr>
              <w:autoSpaceDE w:val="0"/>
              <w:autoSpaceDN w:val="0"/>
              <w:adjustRightInd w:val="0"/>
              <w:ind w:left="170" w:hanging="170"/>
              <w:rPr>
                <w:rFonts w:ascii="Times New Roman" w:hAnsi="Times New Roman" w:cs="Times New Roman"/>
                <w:sz w:val="22"/>
                <w:szCs w:val="22"/>
              </w:rPr>
            </w:pPr>
            <w:r w:rsidRPr="00B81C6C">
              <w:rPr>
                <w:rFonts w:ascii="Times New Roman" w:hAnsi="Times New Roman" w:cs="Times New Roman"/>
                <w:sz w:val="22"/>
                <w:szCs w:val="22"/>
              </w:rPr>
              <w:t>Ampliar y mejorar la explicación de cada configuración</w:t>
            </w:r>
          </w:p>
        </w:tc>
        <w:tc>
          <w:tcPr>
            <w:tcW w:w="556" w:type="dxa"/>
            <w:tcBorders>
              <w:top w:val="double" w:sz="4" w:space="0" w:color="auto"/>
              <w:left w:val="single" w:sz="4" w:space="0" w:color="auto"/>
            </w:tcBorders>
          </w:tcPr>
          <w:p w14:paraId="6A65861E"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7</w:t>
            </w:r>
          </w:p>
        </w:tc>
        <w:tc>
          <w:tcPr>
            <w:tcW w:w="556" w:type="dxa"/>
            <w:tcBorders>
              <w:top w:val="double" w:sz="4" w:space="0" w:color="auto"/>
            </w:tcBorders>
          </w:tcPr>
          <w:p w14:paraId="53D714E6"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7</w:t>
            </w:r>
          </w:p>
        </w:tc>
        <w:tc>
          <w:tcPr>
            <w:tcW w:w="410" w:type="dxa"/>
            <w:tcBorders>
              <w:top w:val="double" w:sz="4" w:space="0" w:color="auto"/>
              <w:right w:val="single" w:sz="4" w:space="0" w:color="auto"/>
            </w:tcBorders>
          </w:tcPr>
          <w:p w14:paraId="7D4999E3"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0</w:t>
            </w:r>
          </w:p>
        </w:tc>
        <w:tc>
          <w:tcPr>
            <w:tcW w:w="681" w:type="dxa"/>
            <w:tcBorders>
              <w:top w:val="double" w:sz="4" w:space="0" w:color="auto"/>
              <w:left w:val="single" w:sz="4" w:space="0" w:color="auto"/>
            </w:tcBorders>
          </w:tcPr>
          <w:p w14:paraId="0BA18D9B"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14</w:t>
            </w:r>
          </w:p>
        </w:tc>
      </w:tr>
      <w:tr w:rsidR="00266CB4" w:rsidRPr="00B81C6C" w14:paraId="605B183A" w14:textId="77777777" w:rsidTr="00AF58D1">
        <w:trPr>
          <w:trHeight w:val="794"/>
        </w:trPr>
        <w:tc>
          <w:tcPr>
            <w:tcW w:w="2023" w:type="dxa"/>
            <w:tcBorders>
              <w:right w:val="single" w:sz="4" w:space="0" w:color="auto"/>
            </w:tcBorders>
          </w:tcPr>
          <w:p w14:paraId="697B9A7A" w14:textId="77777777" w:rsidR="00266CB4" w:rsidRPr="00B81C6C" w:rsidRDefault="00266CB4" w:rsidP="00B81C6C">
            <w:pPr>
              <w:autoSpaceDE w:val="0"/>
              <w:autoSpaceDN w:val="0"/>
              <w:adjustRightInd w:val="0"/>
              <w:rPr>
                <w:rFonts w:ascii="Times New Roman" w:hAnsi="Times New Roman" w:cs="Times New Roman"/>
                <w:sz w:val="22"/>
                <w:szCs w:val="22"/>
              </w:rPr>
            </w:pPr>
            <w:r w:rsidRPr="00B81C6C">
              <w:rPr>
                <w:rFonts w:ascii="Times New Roman" w:hAnsi="Times New Roman" w:cs="Times New Roman"/>
                <w:sz w:val="22"/>
                <w:szCs w:val="22"/>
              </w:rPr>
              <w:t>Interacción entre alumnos</w:t>
            </w:r>
          </w:p>
        </w:tc>
        <w:tc>
          <w:tcPr>
            <w:tcW w:w="4347" w:type="dxa"/>
            <w:tcBorders>
              <w:left w:val="single" w:sz="4" w:space="0" w:color="auto"/>
              <w:right w:val="single" w:sz="4" w:space="0" w:color="auto"/>
            </w:tcBorders>
          </w:tcPr>
          <w:p w14:paraId="45E23713" w14:textId="77777777" w:rsidR="00266CB4" w:rsidRPr="00B81C6C" w:rsidRDefault="00266CB4" w:rsidP="00B81C6C">
            <w:pPr>
              <w:pStyle w:val="Prrafodelista"/>
              <w:numPr>
                <w:ilvl w:val="0"/>
                <w:numId w:val="8"/>
              </w:numPr>
              <w:autoSpaceDE w:val="0"/>
              <w:autoSpaceDN w:val="0"/>
              <w:adjustRightInd w:val="0"/>
              <w:ind w:left="170" w:hanging="170"/>
              <w:rPr>
                <w:rFonts w:ascii="Times New Roman" w:hAnsi="Times New Roman" w:cs="Times New Roman"/>
                <w:sz w:val="22"/>
                <w:szCs w:val="22"/>
              </w:rPr>
            </w:pPr>
            <w:r w:rsidRPr="00B81C6C">
              <w:rPr>
                <w:rFonts w:ascii="Times New Roman" w:hAnsi="Times New Roman" w:cs="Times New Roman"/>
                <w:sz w:val="22"/>
                <w:szCs w:val="22"/>
              </w:rPr>
              <w:t>Incluir actividades grupales</w:t>
            </w:r>
          </w:p>
          <w:p w14:paraId="1267BE4E" w14:textId="77777777" w:rsidR="00266CB4" w:rsidRPr="00B81C6C" w:rsidRDefault="00266CB4" w:rsidP="00B81C6C">
            <w:pPr>
              <w:pStyle w:val="Prrafodelista"/>
              <w:numPr>
                <w:ilvl w:val="0"/>
                <w:numId w:val="8"/>
              </w:numPr>
              <w:autoSpaceDE w:val="0"/>
              <w:autoSpaceDN w:val="0"/>
              <w:adjustRightInd w:val="0"/>
              <w:ind w:left="170" w:hanging="170"/>
              <w:rPr>
                <w:rFonts w:ascii="Times New Roman" w:hAnsi="Times New Roman" w:cs="Times New Roman"/>
                <w:sz w:val="22"/>
                <w:szCs w:val="22"/>
              </w:rPr>
            </w:pPr>
            <w:r w:rsidRPr="00B81C6C">
              <w:rPr>
                <w:rFonts w:ascii="Times New Roman" w:hAnsi="Times New Roman" w:cs="Times New Roman"/>
                <w:sz w:val="22"/>
                <w:szCs w:val="22"/>
              </w:rPr>
              <w:t>Pedir a los alumnos que dialoguen y debatan sobre las tareas</w:t>
            </w:r>
          </w:p>
        </w:tc>
        <w:tc>
          <w:tcPr>
            <w:tcW w:w="556" w:type="dxa"/>
            <w:tcBorders>
              <w:left w:val="single" w:sz="4" w:space="0" w:color="auto"/>
            </w:tcBorders>
          </w:tcPr>
          <w:p w14:paraId="30FC671E"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2</w:t>
            </w:r>
          </w:p>
        </w:tc>
        <w:tc>
          <w:tcPr>
            <w:tcW w:w="556" w:type="dxa"/>
          </w:tcPr>
          <w:p w14:paraId="5E0CA6E3"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11</w:t>
            </w:r>
          </w:p>
        </w:tc>
        <w:tc>
          <w:tcPr>
            <w:tcW w:w="410" w:type="dxa"/>
            <w:tcBorders>
              <w:right w:val="single" w:sz="4" w:space="0" w:color="auto"/>
            </w:tcBorders>
          </w:tcPr>
          <w:p w14:paraId="266B4D20"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0</w:t>
            </w:r>
          </w:p>
        </w:tc>
        <w:tc>
          <w:tcPr>
            <w:tcW w:w="681" w:type="dxa"/>
            <w:tcBorders>
              <w:left w:val="single" w:sz="4" w:space="0" w:color="auto"/>
            </w:tcBorders>
          </w:tcPr>
          <w:p w14:paraId="7D7A855C"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13</w:t>
            </w:r>
          </w:p>
        </w:tc>
      </w:tr>
      <w:tr w:rsidR="00266CB4" w:rsidRPr="00B81C6C" w14:paraId="6B0C2F59" w14:textId="77777777" w:rsidTr="00AF58D1">
        <w:trPr>
          <w:trHeight w:val="281"/>
        </w:trPr>
        <w:tc>
          <w:tcPr>
            <w:tcW w:w="2023" w:type="dxa"/>
            <w:tcBorders>
              <w:right w:val="single" w:sz="4" w:space="0" w:color="auto"/>
            </w:tcBorders>
          </w:tcPr>
          <w:p w14:paraId="21BD4203" w14:textId="77777777" w:rsidR="00266CB4" w:rsidRPr="00B81C6C" w:rsidRDefault="00266CB4" w:rsidP="00B81C6C">
            <w:pPr>
              <w:autoSpaceDE w:val="0"/>
              <w:autoSpaceDN w:val="0"/>
              <w:adjustRightInd w:val="0"/>
              <w:rPr>
                <w:rFonts w:ascii="Times New Roman" w:hAnsi="Times New Roman" w:cs="Times New Roman"/>
                <w:sz w:val="22"/>
                <w:szCs w:val="22"/>
              </w:rPr>
            </w:pPr>
            <w:r w:rsidRPr="00B81C6C">
              <w:rPr>
                <w:rFonts w:ascii="Times New Roman" w:hAnsi="Times New Roman" w:cs="Times New Roman"/>
                <w:sz w:val="22"/>
                <w:szCs w:val="22"/>
              </w:rPr>
              <w:t>Autonomía</w:t>
            </w:r>
          </w:p>
        </w:tc>
        <w:tc>
          <w:tcPr>
            <w:tcW w:w="4347" w:type="dxa"/>
            <w:tcBorders>
              <w:left w:val="single" w:sz="4" w:space="0" w:color="auto"/>
              <w:right w:val="single" w:sz="4" w:space="0" w:color="auto"/>
            </w:tcBorders>
          </w:tcPr>
          <w:p w14:paraId="749A37DE" w14:textId="77777777" w:rsidR="00266CB4" w:rsidRPr="00B81C6C" w:rsidRDefault="00266CB4" w:rsidP="00B81C6C">
            <w:pPr>
              <w:pStyle w:val="Prrafodelista"/>
              <w:numPr>
                <w:ilvl w:val="0"/>
                <w:numId w:val="8"/>
              </w:numPr>
              <w:autoSpaceDE w:val="0"/>
              <w:autoSpaceDN w:val="0"/>
              <w:adjustRightInd w:val="0"/>
              <w:ind w:left="170" w:hanging="170"/>
              <w:rPr>
                <w:rFonts w:ascii="Times New Roman" w:hAnsi="Times New Roman" w:cs="Times New Roman"/>
                <w:sz w:val="22"/>
                <w:szCs w:val="22"/>
              </w:rPr>
            </w:pPr>
            <w:r w:rsidRPr="00B81C6C">
              <w:rPr>
                <w:rFonts w:ascii="Times New Roman" w:hAnsi="Times New Roman" w:cs="Times New Roman"/>
                <w:sz w:val="22"/>
                <w:szCs w:val="22"/>
              </w:rPr>
              <w:t>Fomentar el trabajo autónomo</w:t>
            </w:r>
          </w:p>
        </w:tc>
        <w:tc>
          <w:tcPr>
            <w:tcW w:w="556" w:type="dxa"/>
            <w:tcBorders>
              <w:left w:val="single" w:sz="4" w:space="0" w:color="auto"/>
            </w:tcBorders>
          </w:tcPr>
          <w:p w14:paraId="5B5E2420"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1</w:t>
            </w:r>
          </w:p>
        </w:tc>
        <w:tc>
          <w:tcPr>
            <w:tcW w:w="556" w:type="dxa"/>
          </w:tcPr>
          <w:p w14:paraId="459CCFCB"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1</w:t>
            </w:r>
          </w:p>
        </w:tc>
        <w:tc>
          <w:tcPr>
            <w:tcW w:w="410" w:type="dxa"/>
            <w:tcBorders>
              <w:right w:val="single" w:sz="4" w:space="0" w:color="auto"/>
            </w:tcBorders>
          </w:tcPr>
          <w:p w14:paraId="2BDC755D"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0</w:t>
            </w:r>
          </w:p>
        </w:tc>
        <w:tc>
          <w:tcPr>
            <w:tcW w:w="681" w:type="dxa"/>
            <w:tcBorders>
              <w:left w:val="single" w:sz="4" w:space="0" w:color="auto"/>
            </w:tcBorders>
          </w:tcPr>
          <w:p w14:paraId="438F49BA"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2</w:t>
            </w:r>
          </w:p>
        </w:tc>
      </w:tr>
      <w:tr w:rsidR="00266CB4" w:rsidRPr="00B81C6C" w14:paraId="47CB3062" w14:textId="77777777" w:rsidTr="00AF58D1">
        <w:trPr>
          <w:trHeight w:val="268"/>
        </w:trPr>
        <w:tc>
          <w:tcPr>
            <w:tcW w:w="2023" w:type="dxa"/>
            <w:tcBorders>
              <w:right w:val="single" w:sz="4" w:space="0" w:color="auto"/>
            </w:tcBorders>
          </w:tcPr>
          <w:p w14:paraId="4D814DCF" w14:textId="77777777" w:rsidR="00266CB4" w:rsidRPr="00B81C6C" w:rsidRDefault="00266CB4" w:rsidP="00B81C6C">
            <w:pPr>
              <w:autoSpaceDE w:val="0"/>
              <w:autoSpaceDN w:val="0"/>
              <w:adjustRightInd w:val="0"/>
              <w:rPr>
                <w:rFonts w:ascii="Times New Roman" w:hAnsi="Times New Roman" w:cs="Times New Roman"/>
                <w:sz w:val="22"/>
                <w:szCs w:val="22"/>
              </w:rPr>
            </w:pPr>
            <w:r w:rsidRPr="00B81C6C">
              <w:rPr>
                <w:rFonts w:ascii="Times New Roman" w:hAnsi="Times New Roman" w:cs="Times New Roman"/>
                <w:sz w:val="22"/>
                <w:szCs w:val="22"/>
              </w:rPr>
              <w:t>Recursos materiales</w:t>
            </w:r>
          </w:p>
        </w:tc>
        <w:tc>
          <w:tcPr>
            <w:tcW w:w="4347" w:type="dxa"/>
            <w:tcBorders>
              <w:left w:val="single" w:sz="4" w:space="0" w:color="auto"/>
              <w:right w:val="single" w:sz="4" w:space="0" w:color="auto"/>
            </w:tcBorders>
          </w:tcPr>
          <w:p w14:paraId="7492EE5D" w14:textId="77777777" w:rsidR="00266CB4" w:rsidRPr="00B81C6C" w:rsidRDefault="00266CB4" w:rsidP="00B81C6C">
            <w:pPr>
              <w:pStyle w:val="Prrafodelista"/>
              <w:numPr>
                <w:ilvl w:val="0"/>
                <w:numId w:val="8"/>
              </w:numPr>
              <w:autoSpaceDE w:val="0"/>
              <w:autoSpaceDN w:val="0"/>
              <w:adjustRightInd w:val="0"/>
              <w:ind w:left="170" w:hanging="170"/>
              <w:rPr>
                <w:rFonts w:ascii="Times New Roman" w:hAnsi="Times New Roman" w:cs="Times New Roman"/>
                <w:sz w:val="22"/>
                <w:szCs w:val="22"/>
              </w:rPr>
            </w:pPr>
            <w:r w:rsidRPr="00B81C6C">
              <w:rPr>
                <w:rFonts w:ascii="Times New Roman" w:hAnsi="Times New Roman" w:cs="Times New Roman"/>
                <w:sz w:val="22"/>
                <w:szCs w:val="22"/>
              </w:rPr>
              <w:t>Incorporar materiales manipulativos</w:t>
            </w:r>
          </w:p>
        </w:tc>
        <w:tc>
          <w:tcPr>
            <w:tcW w:w="556" w:type="dxa"/>
            <w:tcBorders>
              <w:left w:val="single" w:sz="4" w:space="0" w:color="auto"/>
            </w:tcBorders>
          </w:tcPr>
          <w:p w14:paraId="43CF62C4"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16</w:t>
            </w:r>
          </w:p>
        </w:tc>
        <w:tc>
          <w:tcPr>
            <w:tcW w:w="556" w:type="dxa"/>
          </w:tcPr>
          <w:p w14:paraId="060CD226"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8</w:t>
            </w:r>
          </w:p>
        </w:tc>
        <w:tc>
          <w:tcPr>
            <w:tcW w:w="410" w:type="dxa"/>
            <w:tcBorders>
              <w:right w:val="single" w:sz="4" w:space="0" w:color="auto"/>
            </w:tcBorders>
          </w:tcPr>
          <w:p w14:paraId="34E6A039"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4</w:t>
            </w:r>
          </w:p>
        </w:tc>
        <w:tc>
          <w:tcPr>
            <w:tcW w:w="681" w:type="dxa"/>
            <w:tcBorders>
              <w:left w:val="single" w:sz="4" w:space="0" w:color="auto"/>
            </w:tcBorders>
          </w:tcPr>
          <w:p w14:paraId="0E9D68D3"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28</w:t>
            </w:r>
          </w:p>
        </w:tc>
      </w:tr>
      <w:tr w:rsidR="00266CB4" w:rsidRPr="00B81C6C" w14:paraId="59591F46" w14:textId="77777777" w:rsidTr="00AF58D1">
        <w:trPr>
          <w:trHeight w:val="281"/>
        </w:trPr>
        <w:tc>
          <w:tcPr>
            <w:tcW w:w="2023" w:type="dxa"/>
            <w:tcBorders>
              <w:right w:val="single" w:sz="4" w:space="0" w:color="auto"/>
            </w:tcBorders>
          </w:tcPr>
          <w:p w14:paraId="590BEF40" w14:textId="77777777" w:rsidR="00266CB4" w:rsidRPr="00B81C6C" w:rsidRDefault="00266CB4" w:rsidP="00B81C6C">
            <w:pPr>
              <w:autoSpaceDE w:val="0"/>
              <w:autoSpaceDN w:val="0"/>
              <w:adjustRightInd w:val="0"/>
              <w:rPr>
                <w:rFonts w:ascii="Times New Roman" w:hAnsi="Times New Roman" w:cs="Times New Roman"/>
                <w:sz w:val="22"/>
                <w:szCs w:val="22"/>
              </w:rPr>
            </w:pPr>
            <w:r w:rsidRPr="00B81C6C">
              <w:rPr>
                <w:rFonts w:ascii="Times New Roman" w:hAnsi="Times New Roman" w:cs="Times New Roman"/>
                <w:sz w:val="22"/>
                <w:szCs w:val="22"/>
              </w:rPr>
              <w:t>Secuenciación</w:t>
            </w:r>
          </w:p>
        </w:tc>
        <w:tc>
          <w:tcPr>
            <w:tcW w:w="4347" w:type="dxa"/>
            <w:tcBorders>
              <w:left w:val="single" w:sz="4" w:space="0" w:color="auto"/>
              <w:right w:val="single" w:sz="4" w:space="0" w:color="auto"/>
            </w:tcBorders>
          </w:tcPr>
          <w:p w14:paraId="39E64750" w14:textId="77777777" w:rsidR="00266CB4" w:rsidRPr="00B81C6C" w:rsidRDefault="00266CB4" w:rsidP="00B81C6C">
            <w:pPr>
              <w:pStyle w:val="Prrafodelista"/>
              <w:numPr>
                <w:ilvl w:val="0"/>
                <w:numId w:val="8"/>
              </w:numPr>
              <w:autoSpaceDE w:val="0"/>
              <w:autoSpaceDN w:val="0"/>
              <w:adjustRightInd w:val="0"/>
              <w:ind w:left="170" w:hanging="170"/>
              <w:rPr>
                <w:rFonts w:ascii="Times New Roman" w:hAnsi="Times New Roman" w:cs="Times New Roman"/>
                <w:sz w:val="22"/>
                <w:szCs w:val="22"/>
              </w:rPr>
            </w:pPr>
            <w:r w:rsidRPr="00B81C6C">
              <w:rPr>
                <w:rFonts w:ascii="Times New Roman" w:hAnsi="Times New Roman" w:cs="Times New Roman"/>
                <w:sz w:val="22"/>
                <w:szCs w:val="22"/>
              </w:rPr>
              <w:t>Cambiar el orden de las configuraciones</w:t>
            </w:r>
          </w:p>
        </w:tc>
        <w:tc>
          <w:tcPr>
            <w:tcW w:w="556" w:type="dxa"/>
            <w:tcBorders>
              <w:left w:val="single" w:sz="4" w:space="0" w:color="auto"/>
            </w:tcBorders>
          </w:tcPr>
          <w:p w14:paraId="524A9277"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0</w:t>
            </w:r>
          </w:p>
        </w:tc>
        <w:tc>
          <w:tcPr>
            <w:tcW w:w="556" w:type="dxa"/>
          </w:tcPr>
          <w:p w14:paraId="11E1C73C"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4</w:t>
            </w:r>
          </w:p>
        </w:tc>
        <w:tc>
          <w:tcPr>
            <w:tcW w:w="410" w:type="dxa"/>
            <w:tcBorders>
              <w:right w:val="single" w:sz="4" w:space="0" w:color="auto"/>
            </w:tcBorders>
          </w:tcPr>
          <w:p w14:paraId="1DA500C5"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1</w:t>
            </w:r>
          </w:p>
        </w:tc>
        <w:tc>
          <w:tcPr>
            <w:tcW w:w="681" w:type="dxa"/>
            <w:tcBorders>
              <w:left w:val="single" w:sz="4" w:space="0" w:color="auto"/>
            </w:tcBorders>
          </w:tcPr>
          <w:p w14:paraId="5E1B5357"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5</w:t>
            </w:r>
          </w:p>
        </w:tc>
      </w:tr>
      <w:tr w:rsidR="00266CB4" w:rsidRPr="00B81C6C" w14:paraId="2D159FCA" w14:textId="77777777" w:rsidTr="00AF58D1">
        <w:trPr>
          <w:trHeight w:val="244"/>
        </w:trPr>
        <w:tc>
          <w:tcPr>
            <w:tcW w:w="2023" w:type="dxa"/>
            <w:tcBorders>
              <w:top w:val="single" w:sz="4" w:space="0" w:color="auto"/>
              <w:bottom w:val="single" w:sz="12" w:space="0" w:color="auto"/>
              <w:right w:val="single" w:sz="4" w:space="0" w:color="auto"/>
            </w:tcBorders>
          </w:tcPr>
          <w:p w14:paraId="4B11A522" w14:textId="77777777" w:rsidR="00266CB4" w:rsidRPr="00B81C6C" w:rsidRDefault="00266CB4" w:rsidP="00B81C6C">
            <w:pPr>
              <w:autoSpaceDE w:val="0"/>
              <w:autoSpaceDN w:val="0"/>
              <w:adjustRightInd w:val="0"/>
              <w:rPr>
                <w:rFonts w:ascii="Times New Roman" w:hAnsi="Times New Roman" w:cs="Times New Roman"/>
                <w:sz w:val="22"/>
                <w:szCs w:val="22"/>
              </w:rPr>
            </w:pPr>
            <w:r w:rsidRPr="00B81C6C">
              <w:rPr>
                <w:rFonts w:ascii="Times New Roman" w:hAnsi="Times New Roman" w:cs="Times New Roman"/>
                <w:sz w:val="22"/>
                <w:szCs w:val="22"/>
              </w:rPr>
              <w:t>Total</w:t>
            </w:r>
          </w:p>
        </w:tc>
        <w:tc>
          <w:tcPr>
            <w:tcW w:w="4347" w:type="dxa"/>
            <w:tcBorders>
              <w:top w:val="single" w:sz="4" w:space="0" w:color="auto"/>
              <w:left w:val="single" w:sz="4" w:space="0" w:color="auto"/>
              <w:bottom w:val="single" w:sz="12" w:space="0" w:color="auto"/>
              <w:right w:val="single" w:sz="4" w:space="0" w:color="auto"/>
            </w:tcBorders>
          </w:tcPr>
          <w:p w14:paraId="7EF8E7FC" w14:textId="77777777" w:rsidR="00266CB4" w:rsidRPr="00B81C6C" w:rsidRDefault="00266CB4" w:rsidP="00B81C6C">
            <w:pPr>
              <w:autoSpaceDE w:val="0"/>
              <w:autoSpaceDN w:val="0"/>
              <w:adjustRightInd w:val="0"/>
              <w:rPr>
                <w:rFonts w:ascii="Times New Roman" w:hAnsi="Times New Roman" w:cs="Times New Roman"/>
                <w:sz w:val="22"/>
                <w:szCs w:val="22"/>
              </w:rPr>
            </w:pPr>
          </w:p>
        </w:tc>
        <w:tc>
          <w:tcPr>
            <w:tcW w:w="556" w:type="dxa"/>
            <w:tcBorders>
              <w:top w:val="single" w:sz="4" w:space="0" w:color="auto"/>
              <w:left w:val="single" w:sz="4" w:space="0" w:color="auto"/>
              <w:bottom w:val="single" w:sz="12" w:space="0" w:color="auto"/>
            </w:tcBorders>
          </w:tcPr>
          <w:p w14:paraId="2DE89832"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26</w:t>
            </w:r>
          </w:p>
        </w:tc>
        <w:tc>
          <w:tcPr>
            <w:tcW w:w="556" w:type="dxa"/>
            <w:tcBorders>
              <w:top w:val="single" w:sz="4" w:space="0" w:color="auto"/>
              <w:bottom w:val="single" w:sz="12" w:space="0" w:color="auto"/>
            </w:tcBorders>
          </w:tcPr>
          <w:p w14:paraId="4F239480"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31</w:t>
            </w:r>
          </w:p>
        </w:tc>
        <w:tc>
          <w:tcPr>
            <w:tcW w:w="410" w:type="dxa"/>
            <w:tcBorders>
              <w:top w:val="single" w:sz="4" w:space="0" w:color="auto"/>
              <w:bottom w:val="single" w:sz="12" w:space="0" w:color="auto"/>
              <w:right w:val="single" w:sz="4" w:space="0" w:color="auto"/>
            </w:tcBorders>
          </w:tcPr>
          <w:p w14:paraId="2304C047"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5</w:t>
            </w:r>
          </w:p>
        </w:tc>
        <w:tc>
          <w:tcPr>
            <w:tcW w:w="681" w:type="dxa"/>
            <w:tcBorders>
              <w:top w:val="single" w:sz="4" w:space="0" w:color="auto"/>
              <w:left w:val="single" w:sz="4" w:space="0" w:color="auto"/>
              <w:bottom w:val="single" w:sz="12" w:space="0" w:color="auto"/>
            </w:tcBorders>
          </w:tcPr>
          <w:p w14:paraId="08512C1A" w14:textId="77777777" w:rsidR="00266CB4" w:rsidRPr="00B81C6C" w:rsidRDefault="00266CB4" w:rsidP="00B81C6C">
            <w:pPr>
              <w:autoSpaceDE w:val="0"/>
              <w:autoSpaceDN w:val="0"/>
              <w:adjustRightInd w:val="0"/>
              <w:jc w:val="center"/>
              <w:rPr>
                <w:rFonts w:ascii="Times New Roman" w:hAnsi="Times New Roman" w:cs="Times New Roman"/>
                <w:sz w:val="22"/>
                <w:szCs w:val="22"/>
              </w:rPr>
            </w:pPr>
            <w:r w:rsidRPr="00B81C6C">
              <w:rPr>
                <w:rFonts w:ascii="Times New Roman" w:hAnsi="Times New Roman" w:cs="Times New Roman"/>
                <w:sz w:val="22"/>
                <w:szCs w:val="22"/>
              </w:rPr>
              <w:t>62</w:t>
            </w:r>
          </w:p>
        </w:tc>
      </w:tr>
    </w:tbl>
    <w:bookmarkEnd w:id="3"/>
    <w:p w14:paraId="319FC0A8" w14:textId="26E30A82" w:rsidR="00266CB4" w:rsidRPr="00AA36C5" w:rsidRDefault="00266CB4" w:rsidP="00266CB4">
      <w:pPr>
        <w:spacing w:after="120"/>
        <w:ind w:firstLine="709"/>
        <w:jc w:val="both"/>
        <w:rPr>
          <w:rFonts w:ascii="Times New Roman" w:eastAsia="Times New Roman" w:hAnsi="Times New Roman" w:cs="Times New Roman"/>
          <w:sz w:val="22"/>
          <w:szCs w:val="22"/>
          <w:lang w:val="la"/>
        </w:rPr>
      </w:pPr>
      <w:r w:rsidRPr="00266CB4">
        <w:rPr>
          <w:rFonts w:ascii="Times New Roman" w:eastAsia="Times New Roman" w:hAnsi="Times New Roman" w:cs="Times New Roman"/>
          <w:sz w:val="22"/>
          <w:szCs w:val="22"/>
          <w:lang w:val="la"/>
        </w:rPr>
        <w:t xml:space="preserve">En el caso de la propuesta de solución a conflictos instruccionales (el 40% de todos los indicados), si bien la mayoría sugiere el uso de recursos </w:t>
      </w:r>
      <w:r w:rsidRPr="00266CB4">
        <w:rPr>
          <w:rFonts w:ascii="Times New Roman" w:eastAsia="Times New Roman" w:hAnsi="Times New Roman" w:cs="Times New Roman"/>
          <w:sz w:val="22"/>
          <w:szCs w:val="22"/>
          <w:lang w:val="la"/>
        </w:rPr>
        <w:lastRenderedPageBreak/>
        <w:t xml:space="preserve">materiales o informáticos, no suelen explicitar qué tipo de recursos (salvo Geogebra o Excel) o de qué manera los usarían. Son propuestas que no se concretan en actividades para implementar en el aula, a excepción de la construcción de figuras a cierta escala, la elaboración o interpretación de mapas o la toma de medidas para el diseño de planos (Figura </w:t>
      </w:r>
      <w:r w:rsidRPr="00AA36C5">
        <w:rPr>
          <w:rFonts w:ascii="Times New Roman" w:eastAsia="Times New Roman" w:hAnsi="Times New Roman" w:cs="Times New Roman"/>
          <w:sz w:val="22"/>
          <w:szCs w:val="22"/>
          <w:lang w:val="la"/>
        </w:rPr>
        <w:t>8</w:t>
      </w:r>
      <w:r w:rsidRPr="00266CB4">
        <w:rPr>
          <w:rFonts w:ascii="Times New Roman" w:eastAsia="Times New Roman" w:hAnsi="Times New Roman" w:cs="Times New Roman"/>
          <w:sz w:val="22"/>
          <w:szCs w:val="22"/>
          <w:lang w:val="la"/>
        </w:rPr>
        <w:t>)</w:t>
      </w:r>
      <w:r w:rsidRPr="00AA36C5">
        <w:rPr>
          <w:rFonts w:ascii="Times New Roman" w:eastAsia="Times New Roman" w:hAnsi="Times New Roman" w:cs="Times New Roman"/>
          <w:sz w:val="22"/>
          <w:szCs w:val="22"/>
          <w:lang w:val="la"/>
        </w:rPr>
        <w:t>.</w:t>
      </w:r>
    </w:p>
    <w:p w14:paraId="5CF79108" w14:textId="28E4F278" w:rsidR="00AA36C5" w:rsidRDefault="00AA36C5" w:rsidP="00AA36C5">
      <w:pPr>
        <w:spacing w:after="120"/>
        <w:ind w:firstLine="709"/>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Figura </w:t>
      </w:r>
      <w:r>
        <w:rPr>
          <w:rFonts w:ascii="Times New Roman" w:eastAsia="Times New Roman" w:hAnsi="Times New Roman" w:cs="Times New Roman"/>
          <w:b/>
          <w:bCs/>
          <w:sz w:val="22"/>
          <w:szCs w:val="22"/>
        </w:rPr>
        <w:t>8</w:t>
      </w:r>
    </w:p>
    <w:p w14:paraId="6F16E90D" w14:textId="5D8B330D" w:rsidR="00AA36C5" w:rsidRPr="00AA36C5" w:rsidRDefault="00AA36C5" w:rsidP="00AA36C5">
      <w:pPr>
        <w:spacing w:after="120"/>
        <w:ind w:firstLine="709"/>
        <w:rPr>
          <w:rFonts w:ascii="Times New Roman" w:eastAsia="Times New Roman" w:hAnsi="Times New Roman" w:cs="Times New Roman"/>
          <w:i/>
          <w:iCs/>
          <w:sz w:val="22"/>
          <w:szCs w:val="22"/>
        </w:rPr>
      </w:pPr>
      <w:r w:rsidRPr="00AA36C5">
        <w:rPr>
          <w:rFonts w:ascii="Times New Roman" w:eastAsia="Times New Roman" w:hAnsi="Times New Roman" w:cs="Times New Roman"/>
          <w:i/>
          <w:iCs/>
          <w:sz w:val="22"/>
          <w:szCs w:val="22"/>
        </w:rPr>
        <w:t>Propuesta de uso de recursos materiales (MF46)</w:t>
      </w:r>
    </w:p>
    <w:p w14:paraId="58AEB051" w14:textId="77777777" w:rsidR="00266CB4" w:rsidRDefault="00266CB4" w:rsidP="00AA36C5">
      <w:pPr>
        <w:rPr>
          <w:rFonts w:ascii="Times New Roman" w:hAnsi="Times New Roman"/>
        </w:rPr>
      </w:pPr>
      <w:r>
        <w:rPr>
          <w:noProof/>
        </w:rPr>
        <w:drawing>
          <wp:inline distT="0" distB="0" distL="0" distR="0" wp14:anchorId="74B6FCD8" wp14:editId="6C7104A7">
            <wp:extent cx="4364632" cy="887399"/>
            <wp:effectExtent l="19050" t="19050" r="17145" b="27305"/>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16"/>
                    <a:stretch>
                      <a:fillRect/>
                    </a:stretch>
                  </pic:blipFill>
                  <pic:spPr>
                    <a:xfrm>
                      <a:off x="0" y="0"/>
                      <a:ext cx="4482917" cy="911448"/>
                    </a:xfrm>
                    <a:prstGeom prst="rect">
                      <a:avLst/>
                    </a:prstGeom>
                    <a:ln>
                      <a:solidFill>
                        <a:schemeClr val="tx1"/>
                      </a:solidFill>
                    </a:ln>
                  </pic:spPr>
                </pic:pic>
              </a:graphicData>
            </a:graphic>
          </wp:inline>
        </w:drawing>
      </w:r>
    </w:p>
    <w:p w14:paraId="1277D3E1" w14:textId="77777777" w:rsidR="00266CB4" w:rsidRPr="00AA36C5" w:rsidRDefault="00266CB4" w:rsidP="00AA36C5">
      <w:pPr>
        <w:spacing w:after="120"/>
        <w:ind w:firstLine="709"/>
        <w:jc w:val="both"/>
        <w:rPr>
          <w:rFonts w:ascii="Times New Roman" w:eastAsia="Times New Roman" w:hAnsi="Times New Roman" w:cs="Times New Roman"/>
          <w:sz w:val="22"/>
          <w:szCs w:val="22"/>
          <w:lang w:val="la"/>
        </w:rPr>
      </w:pPr>
      <w:r w:rsidRPr="00AA36C5">
        <w:rPr>
          <w:rFonts w:ascii="Times New Roman" w:eastAsia="Times New Roman" w:hAnsi="Times New Roman" w:cs="Times New Roman"/>
          <w:sz w:val="22"/>
          <w:szCs w:val="22"/>
          <w:lang w:val="la"/>
        </w:rPr>
        <w:t xml:space="preserve">Otros, proponen el uso de Google Maps (“Por ejemplo, con Google Maps calcular la distancia desde el colegio a la casa de cada alumno a través de la escala que nos ofrece esta herramienta, FM12).  En general, se observa una falta de conocimiento sobre aquellos materiales que pueden ser adecuados para la enseñanza y el aprendizaje de la proporcionalidad (“no hacen falta materiales muy específicos, porque cualquier material que se pueda dividir ya puede ser útil para trabajar la proporcionalidad”, MF22). </w:t>
      </w:r>
    </w:p>
    <w:p w14:paraId="1A0808ED" w14:textId="77777777" w:rsidR="00266CB4" w:rsidRPr="00AA36C5" w:rsidRDefault="00266CB4" w:rsidP="00AA36C5">
      <w:pPr>
        <w:spacing w:after="120"/>
        <w:ind w:firstLine="709"/>
        <w:jc w:val="both"/>
        <w:rPr>
          <w:rFonts w:ascii="Times New Roman" w:eastAsia="Times New Roman" w:hAnsi="Times New Roman" w:cs="Times New Roman"/>
          <w:sz w:val="22"/>
          <w:szCs w:val="22"/>
          <w:lang w:val="la"/>
        </w:rPr>
      </w:pPr>
      <w:r w:rsidRPr="00AA36C5">
        <w:rPr>
          <w:rFonts w:ascii="Times New Roman" w:eastAsia="Times New Roman" w:hAnsi="Times New Roman" w:cs="Times New Roman"/>
          <w:sz w:val="22"/>
          <w:szCs w:val="22"/>
          <w:lang w:val="la"/>
        </w:rPr>
        <w:t>En cuanto a la secuenciación, creen que mejoraría el proceso de estudio por medio de la lección alterar el orden de presentación de las configuraciones, de manera que se presenten las magnitudes proporcionales antes que los porcentajes y posponer la introducción de la regla de tres (“cambiaría el orden de las configuraciones, de manera que se trabajara la regla de tres como último contenido tal y como se indica en la secuencia apropiada de la proporcionalidad”, MF28).</w:t>
      </w:r>
    </w:p>
    <w:p w14:paraId="414B29B0" w14:textId="7F456C39" w:rsidR="00266CB4" w:rsidRDefault="00266CB4" w:rsidP="00AA36C5">
      <w:pPr>
        <w:spacing w:after="120"/>
        <w:ind w:firstLine="709"/>
        <w:jc w:val="both"/>
        <w:rPr>
          <w:rFonts w:ascii="Times New Roman" w:eastAsia="Times New Roman" w:hAnsi="Times New Roman" w:cs="Times New Roman"/>
          <w:sz w:val="22"/>
          <w:szCs w:val="22"/>
          <w:lang w:val="la"/>
        </w:rPr>
      </w:pPr>
      <w:r w:rsidRPr="00AA36C5">
        <w:rPr>
          <w:rFonts w:ascii="Times New Roman" w:eastAsia="Times New Roman" w:hAnsi="Times New Roman" w:cs="Times New Roman"/>
          <w:sz w:val="22"/>
          <w:szCs w:val="22"/>
          <w:lang w:val="la"/>
        </w:rPr>
        <w:t xml:space="preserve">En el componente interaccional, los participantes proponen mejorar la presentación del tema (“mejoraría la explicación en cada configuración didáctica, que es demasiado escueta y particularizada”, MF3), enfatizando los conceptos fundamentales del tema (constante de proporcionalidad, carácter simétrico de la relación de proporcionalidad, fundamentalmente) pero no llegan a hacer una descripción suficientemente precisa. Sí son más concretos cuando su propuesta se asocia a alguna de las tareas propuestas. Por ejemplo, para MF33 la formulación de la actividad 17 (Figura 2) puede dar lugar a un conflicto y sugiere el enunciado alternativo que aparece en la Figura </w:t>
      </w:r>
      <w:r w:rsidR="00AA36C5" w:rsidRPr="00AA36C5">
        <w:rPr>
          <w:rFonts w:ascii="Times New Roman" w:eastAsia="Times New Roman" w:hAnsi="Times New Roman" w:cs="Times New Roman"/>
          <w:sz w:val="22"/>
          <w:szCs w:val="22"/>
          <w:lang w:val="la"/>
        </w:rPr>
        <w:t>9</w:t>
      </w:r>
      <w:r w:rsidRPr="00AA36C5">
        <w:rPr>
          <w:rFonts w:ascii="Times New Roman" w:eastAsia="Times New Roman" w:hAnsi="Times New Roman" w:cs="Times New Roman"/>
          <w:sz w:val="22"/>
          <w:szCs w:val="22"/>
          <w:lang w:val="la"/>
        </w:rPr>
        <w:t>.</w:t>
      </w:r>
    </w:p>
    <w:p w14:paraId="68B3B3D5" w14:textId="77777777" w:rsidR="00AA36C5" w:rsidRPr="00E64554" w:rsidRDefault="00AA36C5" w:rsidP="00AA36C5">
      <w:pPr>
        <w:spacing w:after="120"/>
        <w:ind w:firstLine="709"/>
        <w:jc w:val="both"/>
        <w:rPr>
          <w:rFonts w:ascii="Times New Roman" w:eastAsia="Times New Roman" w:hAnsi="Times New Roman" w:cs="Times New Roman"/>
          <w:sz w:val="22"/>
          <w:szCs w:val="22"/>
          <w:lang w:val="la"/>
        </w:rPr>
      </w:pPr>
      <w:r w:rsidRPr="00E64554">
        <w:rPr>
          <w:rFonts w:ascii="Times New Roman" w:eastAsia="Times New Roman" w:hAnsi="Times New Roman" w:cs="Times New Roman"/>
          <w:sz w:val="22"/>
          <w:szCs w:val="22"/>
          <w:lang w:val="la"/>
        </w:rPr>
        <w:lastRenderedPageBreak/>
        <w:t>Finalmente, para garantizar una adecuada interacción entre los alumnos, los participantes proponen emplear algunas de las tareas más significativas de cada configuración para trabajarlas de manera colaborativa y aprovecharlas para que argumenten y justifiquen sus respuestas. En este sentido, también proponen añadir “justifica tu respuesta” en todos los problemas de la lección.</w:t>
      </w:r>
    </w:p>
    <w:p w14:paraId="2555D406" w14:textId="5106E16C" w:rsidR="00AA36C5" w:rsidRDefault="00AA36C5" w:rsidP="00AA36C5">
      <w:pPr>
        <w:spacing w:after="120"/>
        <w:ind w:firstLine="709"/>
        <w:jc w:val="both"/>
        <w:rPr>
          <w:rFonts w:ascii="Times New Roman" w:eastAsia="Times New Roman" w:hAnsi="Times New Roman" w:cs="Times New Roman"/>
          <w:sz w:val="22"/>
          <w:szCs w:val="22"/>
          <w:lang w:val="la"/>
        </w:rPr>
      </w:pPr>
    </w:p>
    <w:p w14:paraId="1002CD6B" w14:textId="568F4BE6" w:rsidR="00AA36C5" w:rsidRDefault="00AA36C5" w:rsidP="00AA36C5">
      <w:pPr>
        <w:spacing w:after="120"/>
        <w:ind w:firstLine="709"/>
        <w:jc w:val="both"/>
        <w:rPr>
          <w:rFonts w:ascii="Times New Roman" w:eastAsia="Times New Roman" w:hAnsi="Times New Roman" w:cs="Times New Roman"/>
          <w:sz w:val="22"/>
          <w:szCs w:val="22"/>
          <w:lang w:val="la"/>
        </w:rPr>
      </w:pPr>
    </w:p>
    <w:p w14:paraId="525FA213" w14:textId="39D9A5D8" w:rsidR="00AA36C5" w:rsidRDefault="00AA36C5" w:rsidP="00AA36C5">
      <w:pPr>
        <w:spacing w:after="120"/>
        <w:ind w:firstLine="709"/>
        <w:jc w:val="both"/>
        <w:rPr>
          <w:rFonts w:ascii="Times New Roman" w:eastAsia="Times New Roman" w:hAnsi="Times New Roman" w:cs="Times New Roman"/>
          <w:sz w:val="22"/>
          <w:szCs w:val="22"/>
          <w:lang w:val="la"/>
        </w:rPr>
      </w:pPr>
    </w:p>
    <w:p w14:paraId="6DBC1B5E" w14:textId="6472E56C" w:rsidR="00AA36C5" w:rsidRDefault="00AA36C5" w:rsidP="00AA36C5">
      <w:pPr>
        <w:spacing w:after="120"/>
        <w:ind w:firstLine="709"/>
        <w:jc w:val="both"/>
        <w:rPr>
          <w:rFonts w:ascii="Times New Roman" w:eastAsia="Times New Roman" w:hAnsi="Times New Roman" w:cs="Times New Roman"/>
          <w:sz w:val="22"/>
          <w:szCs w:val="22"/>
          <w:lang w:val="la"/>
        </w:rPr>
      </w:pPr>
    </w:p>
    <w:p w14:paraId="26D85F3D" w14:textId="55CA7C6D" w:rsidR="00AA36C5" w:rsidRDefault="00AA36C5" w:rsidP="00AA36C5">
      <w:pPr>
        <w:spacing w:after="120"/>
        <w:ind w:firstLine="709"/>
        <w:jc w:val="both"/>
        <w:rPr>
          <w:rFonts w:ascii="Times New Roman" w:eastAsia="Times New Roman" w:hAnsi="Times New Roman" w:cs="Times New Roman"/>
          <w:sz w:val="22"/>
          <w:szCs w:val="22"/>
          <w:lang w:val="la"/>
        </w:rPr>
      </w:pPr>
    </w:p>
    <w:p w14:paraId="5414568F" w14:textId="2B499A8C" w:rsidR="00AA36C5" w:rsidRDefault="00AA36C5" w:rsidP="00AA36C5">
      <w:pPr>
        <w:spacing w:after="120"/>
        <w:ind w:firstLine="709"/>
        <w:jc w:val="both"/>
        <w:rPr>
          <w:rFonts w:ascii="Times New Roman" w:eastAsia="Times New Roman" w:hAnsi="Times New Roman" w:cs="Times New Roman"/>
          <w:sz w:val="22"/>
          <w:szCs w:val="22"/>
          <w:lang w:val="la"/>
        </w:rPr>
      </w:pPr>
    </w:p>
    <w:p w14:paraId="41BAA43B" w14:textId="303B4E31" w:rsidR="00AA36C5" w:rsidRDefault="00AA36C5" w:rsidP="00AA36C5">
      <w:pPr>
        <w:spacing w:after="120"/>
        <w:ind w:firstLine="709"/>
        <w:jc w:val="both"/>
        <w:rPr>
          <w:rFonts w:ascii="Times New Roman" w:eastAsia="Times New Roman" w:hAnsi="Times New Roman" w:cs="Times New Roman"/>
          <w:sz w:val="22"/>
          <w:szCs w:val="22"/>
          <w:lang w:val="la"/>
        </w:rPr>
      </w:pPr>
    </w:p>
    <w:p w14:paraId="6E3370B6" w14:textId="77777777" w:rsidR="00AA36C5" w:rsidRDefault="00AA36C5" w:rsidP="00AA36C5">
      <w:pPr>
        <w:spacing w:after="120"/>
        <w:ind w:firstLine="709"/>
        <w:jc w:val="both"/>
        <w:rPr>
          <w:rFonts w:ascii="Times New Roman" w:eastAsia="Times New Roman" w:hAnsi="Times New Roman" w:cs="Times New Roman"/>
          <w:sz w:val="22"/>
          <w:szCs w:val="22"/>
          <w:lang w:val="la"/>
        </w:rPr>
      </w:pPr>
    </w:p>
    <w:p w14:paraId="381CDA1D" w14:textId="77B7170D" w:rsidR="00AA36C5" w:rsidRDefault="00AA36C5" w:rsidP="00AA36C5">
      <w:pPr>
        <w:spacing w:after="120"/>
        <w:ind w:firstLine="709"/>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Figura </w:t>
      </w:r>
      <w:r>
        <w:rPr>
          <w:rFonts w:ascii="Times New Roman" w:eastAsia="Times New Roman" w:hAnsi="Times New Roman" w:cs="Times New Roman"/>
          <w:b/>
          <w:bCs/>
          <w:sz w:val="22"/>
          <w:szCs w:val="22"/>
        </w:rPr>
        <w:t>9</w:t>
      </w:r>
    </w:p>
    <w:p w14:paraId="187B4AD2" w14:textId="73650215" w:rsidR="00AA36C5" w:rsidRPr="00AA36C5" w:rsidRDefault="00AA36C5" w:rsidP="00AA36C5">
      <w:pPr>
        <w:spacing w:after="120"/>
        <w:ind w:firstLine="709"/>
        <w:rPr>
          <w:rFonts w:ascii="Times New Roman" w:eastAsia="Times New Roman" w:hAnsi="Times New Roman" w:cs="Times New Roman"/>
          <w:i/>
          <w:iCs/>
          <w:sz w:val="22"/>
          <w:szCs w:val="22"/>
        </w:rPr>
      </w:pPr>
      <w:r w:rsidRPr="00AA36C5">
        <w:rPr>
          <w:rFonts w:ascii="Times New Roman" w:eastAsia="Times New Roman" w:hAnsi="Times New Roman" w:cs="Times New Roman"/>
          <w:i/>
          <w:iCs/>
          <w:sz w:val="22"/>
          <w:szCs w:val="22"/>
        </w:rPr>
        <w:t>Propuesta de reformulación a la actividad 17 (MF33).</w:t>
      </w:r>
    </w:p>
    <w:p w14:paraId="42D0F973" w14:textId="2FFBA188" w:rsidR="00642B68" w:rsidRPr="00AA36C5" w:rsidRDefault="00266CB4" w:rsidP="00AA36C5">
      <w:pPr>
        <w:jc w:val="center"/>
        <w:rPr>
          <w:rFonts w:ascii="Times New Roman" w:hAnsi="Times New Roman"/>
        </w:rPr>
      </w:pPr>
      <w:r>
        <w:rPr>
          <w:noProof/>
        </w:rPr>
        <w:drawing>
          <wp:inline distT="0" distB="0" distL="0" distR="0" wp14:anchorId="71EF6C9C" wp14:editId="1DBA8876">
            <wp:extent cx="4500438" cy="3002233"/>
            <wp:effectExtent l="0" t="0" r="0" b="8255"/>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a:blip r:embed="rId17"/>
                    <a:stretch>
                      <a:fillRect/>
                    </a:stretch>
                  </pic:blipFill>
                  <pic:spPr>
                    <a:xfrm>
                      <a:off x="0" y="0"/>
                      <a:ext cx="4516730" cy="3013101"/>
                    </a:xfrm>
                    <a:prstGeom prst="rect">
                      <a:avLst/>
                    </a:prstGeom>
                  </pic:spPr>
                </pic:pic>
              </a:graphicData>
            </a:graphic>
          </wp:inline>
        </w:drawing>
      </w:r>
    </w:p>
    <w:p w14:paraId="5EFD20CC" w14:textId="77777777" w:rsidR="003A2F5F" w:rsidRPr="003A2F5F" w:rsidRDefault="003A2F5F" w:rsidP="235DF6B6">
      <w:pPr>
        <w:ind w:firstLine="709"/>
        <w:rPr>
          <w:rFonts w:ascii="Times New Roman" w:eastAsia="Times New Roman" w:hAnsi="Times New Roman" w:cs="Times New Roman"/>
          <w:b/>
          <w:bCs/>
        </w:rPr>
      </w:pPr>
    </w:p>
    <w:p w14:paraId="58522937" w14:textId="5F1BD61C" w:rsidR="009B31B3" w:rsidRPr="009B31B3" w:rsidRDefault="235DF6B6" w:rsidP="009B31B3">
      <w:pPr>
        <w:ind w:firstLine="709"/>
        <w:rPr>
          <w:sz w:val="22"/>
          <w:szCs w:val="22"/>
        </w:rPr>
      </w:pPr>
      <w:r w:rsidRPr="001A3ECC">
        <w:rPr>
          <w:rFonts w:ascii="Times New Roman" w:eastAsia="Times New Roman" w:hAnsi="Times New Roman" w:cs="Times New Roman"/>
          <w:b/>
          <w:bCs/>
        </w:rPr>
        <w:lastRenderedPageBreak/>
        <w:t>CONCLUSION</w:t>
      </w:r>
      <w:r w:rsidR="00E64554">
        <w:rPr>
          <w:rFonts w:ascii="Times New Roman" w:eastAsia="Times New Roman" w:hAnsi="Times New Roman" w:cs="Times New Roman"/>
          <w:b/>
          <w:bCs/>
        </w:rPr>
        <w:t>E</w:t>
      </w:r>
      <w:r w:rsidRPr="001A3ECC">
        <w:rPr>
          <w:rFonts w:ascii="Times New Roman" w:eastAsia="Times New Roman" w:hAnsi="Times New Roman" w:cs="Times New Roman"/>
          <w:b/>
          <w:bCs/>
        </w:rPr>
        <w:t>S</w:t>
      </w:r>
    </w:p>
    <w:p w14:paraId="49A5728D" w14:textId="77777777" w:rsidR="009B31B3" w:rsidRPr="009B31B3" w:rsidRDefault="009B31B3" w:rsidP="009B31B3">
      <w:pPr>
        <w:spacing w:after="120"/>
        <w:ind w:firstLine="709"/>
        <w:jc w:val="both"/>
        <w:rPr>
          <w:rFonts w:ascii="Times New Roman" w:eastAsia="Times New Roman" w:hAnsi="Times New Roman" w:cs="Times New Roman"/>
          <w:sz w:val="22"/>
          <w:szCs w:val="22"/>
          <w:lang w:val="la"/>
        </w:rPr>
      </w:pPr>
      <w:r w:rsidRPr="009B31B3">
        <w:rPr>
          <w:rFonts w:ascii="Times New Roman" w:eastAsia="Times New Roman" w:hAnsi="Times New Roman" w:cs="Times New Roman"/>
          <w:sz w:val="22"/>
          <w:szCs w:val="22"/>
          <w:lang w:val="la"/>
        </w:rPr>
        <w:t>Los profesores interpretan y actúan como mediadores de los contenidos de los libros de texto cuando los utilizan, por lo que deben disponer de los conocimientos y competencias necesarias para hacer un uso adecuado de estos recursos (Kim, 2007). Llevar a cabo un análisis crítico que guíe el modo de uso de este recurso, constituye una tarea profesional docente que puede resultar difícil y requiere de formación específica (Beyer y Davis, 2012; Godino et al., 2017; Shawer, 2017). Como sugieren Remillard y Kim (2017), este trabajo es especialmente importante para los profesores de primaria, que no suelen tener una amplia preparación en matemáticas y, por lo tanto, están más inclinados a confiar en los recursos curriculares. Esto supone que, desde la formación se debe velar por que los profesores dispongan de herramientas para criticar los materiales curriculares y adaptarlos para hacer un uso adecuado de los mismos (Beyer y Davis, 2012).</w:t>
      </w:r>
    </w:p>
    <w:p w14:paraId="6B286B81" w14:textId="044E85D2" w:rsidR="009B31B3" w:rsidRPr="009B31B3" w:rsidRDefault="009B31B3" w:rsidP="009B31B3">
      <w:pPr>
        <w:spacing w:after="120"/>
        <w:ind w:firstLine="709"/>
        <w:jc w:val="both"/>
        <w:rPr>
          <w:rFonts w:ascii="Times New Roman" w:eastAsia="Times New Roman" w:hAnsi="Times New Roman" w:cs="Times New Roman"/>
          <w:sz w:val="22"/>
          <w:szCs w:val="22"/>
          <w:lang w:val="la"/>
        </w:rPr>
      </w:pPr>
      <w:r w:rsidRPr="009B31B3">
        <w:rPr>
          <w:rFonts w:ascii="Times New Roman" w:eastAsia="Times New Roman" w:hAnsi="Times New Roman" w:cs="Times New Roman"/>
          <w:sz w:val="22"/>
          <w:szCs w:val="22"/>
          <w:lang w:val="la"/>
        </w:rPr>
        <w:t>En este trabajo hemos descrito el diseño, implementación y resultados de una experiencia formativa con MF destinada a desarrollar su competencia para el análisis didáctico de una lección de libro de texto, la identificación de deficiencias y propuesta de gestión de uso y mejora. Como instrumento para guiar este análisis se facilitó a los participantes la GALT-proporcionalidad (</w:t>
      </w:r>
      <w:r w:rsidR="00E6547F">
        <w:rPr>
          <w:rFonts w:ascii="Times New Roman" w:eastAsia="Times New Roman" w:hAnsi="Times New Roman" w:cs="Times New Roman"/>
          <w:sz w:val="22"/>
          <w:szCs w:val="22"/>
          <w:lang w:val="es-419"/>
        </w:rPr>
        <w:t>Autor</w:t>
      </w:r>
      <w:r w:rsidRPr="009B31B3">
        <w:rPr>
          <w:rFonts w:ascii="Times New Roman" w:eastAsia="Times New Roman" w:hAnsi="Times New Roman" w:cs="Times New Roman"/>
          <w:sz w:val="22"/>
          <w:szCs w:val="22"/>
          <w:lang w:val="la"/>
        </w:rPr>
        <w:t xml:space="preserve"> et al., 2022a) basadas en las facetas, componentes y criterios de idoneidad didáctica (Godino, 2013). </w:t>
      </w:r>
    </w:p>
    <w:p w14:paraId="08B11D5E" w14:textId="77777777" w:rsidR="009B31B3" w:rsidRPr="009B31B3" w:rsidRDefault="009B31B3" w:rsidP="009B31B3">
      <w:pPr>
        <w:spacing w:after="120"/>
        <w:ind w:firstLine="709"/>
        <w:jc w:val="both"/>
        <w:rPr>
          <w:rFonts w:ascii="Times New Roman" w:eastAsia="Times New Roman" w:hAnsi="Times New Roman" w:cs="Times New Roman"/>
          <w:sz w:val="22"/>
          <w:szCs w:val="22"/>
          <w:lang w:val="la"/>
        </w:rPr>
      </w:pPr>
      <w:r w:rsidRPr="009B31B3">
        <w:rPr>
          <w:rFonts w:ascii="Times New Roman" w:eastAsia="Times New Roman" w:hAnsi="Times New Roman" w:cs="Times New Roman"/>
          <w:sz w:val="22"/>
          <w:szCs w:val="22"/>
          <w:lang w:val="la"/>
        </w:rPr>
        <w:t xml:space="preserve">Para valorar el desarrollo en esta competencia por parte de los MF, se propuso como tarea inicial una primera lectura y valoración de la lección. En este caso, un porcentaje elevado de los participantes indicó explícitamente que no observaban ningún elemento que pudiera obstaculizar el aprendizaje por parte de potenciales alumnos, si bien aquellos que indicaron alguna carencia, lo hicieron en general de manera oportuna, mostrando rasgos asociados a las distintas facetas que afectan a los procesos instruccionales, especialmente, en lo epistémico-ecológico. </w:t>
      </w:r>
    </w:p>
    <w:p w14:paraId="0DC04909" w14:textId="77777777" w:rsidR="009B31B3" w:rsidRPr="009B31B3" w:rsidRDefault="009B31B3" w:rsidP="009B31B3">
      <w:pPr>
        <w:spacing w:after="120"/>
        <w:ind w:firstLine="709"/>
        <w:jc w:val="both"/>
        <w:rPr>
          <w:rFonts w:ascii="Times New Roman" w:eastAsia="Times New Roman" w:hAnsi="Times New Roman" w:cs="Times New Roman"/>
          <w:sz w:val="22"/>
          <w:szCs w:val="22"/>
          <w:lang w:val="la"/>
        </w:rPr>
      </w:pPr>
      <w:r w:rsidRPr="009B31B3">
        <w:rPr>
          <w:rFonts w:ascii="Times New Roman" w:eastAsia="Times New Roman" w:hAnsi="Times New Roman" w:cs="Times New Roman"/>
          <w:sz w:val="22"/>
          <w:szCs w:val="22"/>
          <w:lang w:val="la"/>
        </w:rPr>
        <w:t xml:space="preserve">El análisis de las tareas de evaluación muestra que la formación sobre el análisis didáctico y la valoración de la lección en base a los criterios de idoneidad didáctica permite mejorar la competencia de los MF para identificar conflictos en la lección. Sin embargo, en relación con la toma de decisiones fundamentadas sobre la gestión del material, las propuestas de solución a conflictos no han sido del todo precisas o efectivas. Los participantes sabían qué querían cambiar, pero no tanto cómo. </w:t>
      </w:r>
    </w:p>
    <w:p w14:paraId="24BEA65A" w14:textId="77777777" w:rsidR="009B31B3" w:rsidRPr="009B31B3" w:rsidRDefault="009B31B3" w:rsidP="009B31B3">
      <w:pPr>
        <w:spacing w:after="120"/>
        <w:ind w:firstLine="709"/>
        <w:jc w:val="both"/>
        <w:rPr>
          <w:rFonts w:ascii="Times New Roman" w:eastAsia="Times New Roman" w:hAnsi="Times New Roman" w:cs="Times New Roman"/>
          <w:sz w:val="22"/>
          <w:szCs w:val="22"/>
          <w:lang w:val="la"/>
        </w:rPr>
      </w:pPr>
      <w:r w:rsidRPr="009B31B3">
        <w:rPr>
          <w:rFonts w:ascii="Times New Roman" w:eastAsia="Times New Roman" w:hAnsi="Times New Roman" w:cs="Times New Roman"/>
          <w:sz w:val="22"/>
          <w:szCs w:val="22"/>
          <w:lang w:val="la"/>
        </w:rPr>
        <w:t xml:space="preserve">Que los MF propongan solución a unos conflictos y no a otros, puede deberse a varios motivos. Por un lado, a sus propias creencias sobre cuáles son </w:t>
      </w:r>
      <w:r w:rsidRPr="009B31B3">
        <w:rPr>
          <w:rFonts w:ascii="Times New Roman" w:eastAsia="Times New Roman" w:hAnsi="Times New Roman" w:cs="Times New Roman"/>
          <w:sz w:val="22"/>
          <w:szCs w:val="22"/>
          <w:lang w:val="la"/>
        </w:rPr>
        <w:lastRenderedPageBreak/>
        <w:t>los aspectos más importantes para garantizar un proceso de enseñanza y aprendizaje “idóneo”. Los criterios de idoneidad se consideran como normas que son principios (en lugar de normas que son reglas) y por tanto son graduales (Breda, 2020). En tanto consensos a priori, los criterios de idoneidad parciales deben tratarse de manera conjunta, dando un peso relativo diferente a cada criterio en función del contexto. En la búsqueda del carácter idóneo de un proceso de enseñanza y aprendizaje, es decir, del equilibrio entre los diferentes criterios parciales de idoneidad, el mayor peso dado a algunos principios en función del contexto o las necesidades de los estudiantes inclina las decisiones en una determinada dirección (Breda, 2020).</w:t>
      </w:r>
    </w:p>
    <w:p w14:paraId="41009A7F" w14:textId="77777777" w:rsidR="009B31B3" w:rsidRPr="009B31B3" w:rsidRDefault="009B31B3" w:rsidP="009B31B3">
      <w:pPr>
        <w:spacing w:after="120"/>
        <w:ind w:firstLine="709"/>
        <w:jc w:val="both"/>
        <w:rPr>
          <w:rFonts w:ascii="Times New Roman" w:eastAsia="Times New Roman" w:hAnsi="Times New Roman" w:cs="Times New Roman"/>
          <w:sz w:val="22"/>
          <w:szCs w:val="22"/>
          <w:lang w:val="la"/>
        </w:rPr>
      </w:pPr>
      <w:r w:rsidRPr="009B31B3">
        <w:rPr>
          <w:rFonts w:ascii="Times New Roman" w:eastAsia="Times New Roman" w:hAnsi="Times New Roman" w:cs="Times New Roman"/>
          <w:sz w:val="22"/>
          <w:szCs w:val="22"/>
          <w:lang w:val="la"/>
        </w:rPr>
        <w:t xml:space="preserve">Por otro lado, influye en sus propuestas sus conocimientos didáctico-matemáticos y su competencia para abordar unos aspectos con mayor seguridad que otros. Por ejemplo, hemos observado que las definiciones que proponen para magnitudes directamente proporcionales, porcentaje o escala, que califican como deficitarias en la lección, tampoco son adecuadas, o que no llegan a plantear nuevas situaciones para trabajar de forma articulada los distintos significados de la proporcionalidad (Aroza et al., 2016), aunque sí lo habían considerado como carencia en la lección. A pesar de los MF recibieron formación sobre factores que afectan a la dificultad (Fernández y Llinares, 2011; Van Dooren, et al., 2009) y la diversidad de estrategias en problemas de proporcionalidad (Lamon, 2007), y de que identificaron conflictos en cuanto a la atención a la diversidad y progresión en el aprendizaje, no diseñaron tareas específicas para atenderlos. Los participantes dieron mayor respuesta a conflictos en el aspecto instruccional, siendo esta más adecuada cuanto menos dependía del contenido matemático. </w:t>
      </w:r>
    </w:p>
    <w:p w14:paraId="297D061A" w14:textId="3A9310DE" w:rsidR="009B31B3" w:rsidRDefault="009B31B3" w:rsidP="009B31B3">
      <w:pPr>
        <w:spacing w:after="120"/>
        <w:ind w:firstLine="709"/>
        <w:jc w:val="both"/>
        <w:rPr>
          <w:rFonts w:ascii="Times New Roman" w:eastAsia="Times New Roman" w:hAnsi="Times New Roman" w:cs="Times New Roman"/>
          <w:sz w:val="22"/>
          <w:szCs w:val="22"/>
          <w:lang w:val="la"/>
        </w:rPr>
      </w:pPr>
      <w:r w:rsidRPr="009B31B3">
        <w:rPr>
          <w:rFonts w:ascii="Times New Roman" w:eastAsia="Times New Roman" w:hAnsi="Times New Roman" w:cs="Times New Roman"/>
          <w:sz w:val="22"/>
          <w:szCs w:val="22"/>
          <w:lang w:val="la"/>
        </w:rPr>
        <w:t>A la luz de estos resultados, creemos relevante fomentar este tipo de acciones formativas orientadas hacia el conocimiento y las competencias didácticas, pero centradas en la importancia del contenido a la hora de desarrollar las matemáticas necesarias para su enseñanza (</w:t>
      </w:r>
      <w:r w:rsidR="00E6547F">
        <w:rPr>
          <w:rFonts w:ascii="Times New Roman" w:eastAsia="Times New Roman" w:hAnsi="Times New Roman" w:cs="Times New Roman"/>
          <w:sz w:val="22"/>
          <w:szCs w:val="22"/>
          <w:lang w:val="es-419"/>
        </w:rPr>
        <w:t>Autor</w:t>
      </w:r>
      <w:r w:rsidRPr="009B31B3">
        <w:rPr>
          <w:rFonts w:ascii="Times New Roman" w:eastAsia="Times New Roman" w:hAnsi="Times New Roman" w:cs="Times New Roman"/>
          <w:sz w:val="22"/>
          <w:szCs w:val="22"/>
          <w:lang w:val="la"/>
        </w:rPr>
        <w:t xml:space="preserve"> et al., 2020; Davis, 2015; Esqué y Breda, 2021). Los MF consideran necesario disponer de este tipo de guías basadas en los criterios de idoneidad didáctica para identificar conflictos y saber cómo gestionarlos (Figura </w:t>
      </w:r>
      <w:r w:rsidR="00AA36C5">
        <w:rPr>
          <w:rFonts w:ascii="Times New Roman" w:eastAsia="Times New Roman" w:hAnsi="Times New Roman" w:cs="Times New Roman"/>
          <w:sz w:val="22"/>
          <w:szCs w:val="22"/>
          <w:lang w:val="es-CR"/>
        </w:rPr>
        <w:t>10</w:t>
      </w:r>
      <w:r w:rsidRPr="009B31B3">
        <w:rPr>
          <w:rFonts w:ascii="Times New Roman" w:eastAsia="Times New Roman" w:hAnsi="Times New Roman" w:cs="Times New Roman"/>
          <w:sz w:val="22"/>
          <w:szCs w:val="22"/>
          <w:lang w:val="la"/>
        </w:rPr>
        <w:t xml:space="preserve">). </w:t>
      </w:r>
    </w:p>
    <w:p w14:paraId="29C0C1E2" w14:textId="3303ABC8" w:rsidR="009B31B3" w:rsidRDefault="009B31B3" w:rsidP="009B31B3">
      <w:pPr>
        <w:spacing w:after="120"/>
        <w:ind w:firstLine="709"/>
        <w:rPr>
          <w:rFonts w:ascii="Times New Roman" w:eastAsia="Times New Roman" w:hAnsi="Times New Roman" w:cs="Times New Roman"/>
          <w:b/>
          <w:bCs/>
          <w:sz w:val="22"/>
          <w:szCs w:val="22"/>
        </w:rPr>
      </w:pPr>
      <w:r w:rsidRPr="008D4248">
        <w:rPr>
          <w:rFonts w:ascii="Times New Roman" w:eastAsia="Times New Roman" w:hAnsi="Times New Roman" w:cs="Times New Roman"/>
          <w:b/>
          <w:bCs/>
          <w:sz w:val="22"/>
          <w:szCs w:val="22"/>
        </w:rPr>
        <w:t xml:space="preserve">Figura </w:t>
      </w:r>
      <w:r w:rsidR="00AA36C5">
        <w:rPr>
          <w:rFonts w:ascii="Times New Roman" w:eastAsia="Times New Roman" w:hAnsi="Times New Roman" w:cs="Times New Roman"/>
          <w:b/>
          <w:bCs/>
          <w:sz w:val="22"/>
          <w:szCs w:val="22"/>
        </w:rPr>
        <w:t>10</w:t>
      </w:r>
    </w:p>
    <w:p w14:paraId="05E127CE" w14:textId="429E1820" w:rsidR="009B31B3" w:rsidRPr="00B81C6C" w:rsidRDefault="009B31B3" w:rsidP="00B81C6C">
      <w:pPr>
        <w:spacing w:after="120"/>
        <w:ind w:firstLine="709"/>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Reflexiones de MF sobre la acción formativa</w:t>
      </w:r>
    </w:p>
    <w:p w14:paraId="3F316DDD" w14:textId="66509325" w:rsidR="009B31B3" w:rsidRDefault="009B31B3" w:rsidP="009B31B3">
      <w:pPr>
        <w:spacing w:after="120"/>
        <w:ind w:firstLine="709"/>
        <w:jc w:val="both"/>
        <w:rPr>
          <w:rFonts w:ascii="Times New Roman" w:eastAsia="Times New Roman" w:hAnsi="Times New Roman" w:cs="Times New Roman"/>
          <w:sz w:val="22"/>
          <w:szCs w:val="22"/>
          <w:lang w:val="la"/>
        </w:rPr>
      </w:pPr>
      <w:r>
        <w:rPr>
          <w:noProof/>
        </w:rPr>
        <w:lastRenderedPageBreak/>
        <w:drawing>
          <wp:inline distT="0" distB="0" distL="0" distR="0" wp14:anchorId="3C29E6CE" wp14:editId="5885A295">
            <wp:extent cx="3366135" cy="3196183"/>
            <wp:effectExtent l="0" t="0" r="5715" b="4445"/>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18"/>
                    <a:srcRect l="11530" t="3035" r="6378" b="5295"/>
                    <a:stretch/>
                  </pic:blipFill>
                  <pic:spPr bwMode="auto">
                    <a:xfrm>
                      <a:off x="0" y="0"/>
                      <a:ext cx="3452599" cy="3278282"/>
                    </a:xfrm>
                    <a:prstGeom prst="rect">
                      <a:avLst/>
                    </a:prstGeom>
                    <a:ln>
                      <a:noFill/>
                    </a:ln>
                    <a:extLst>
                      <a:ext uri="{53640926-AAD7-44D8-BBD7-CCE9431645EC}">
                        <a14:shadowObscured xmlns:a14="http://schemas.microsoft.com/office/drawing/2010/main"/>
                      </a:ext>
                    </a:extLst>
                  </pic:spPr>
                </pic:pic>
              </a:graphicData>
            </a:graphic>
          </wp:inline>
        </w:drawing>
      </w:r>
    </w:p>
    <w:p w14:paraId="16D7FE98" w14:textId="6AB47F1A" w:rsidR="009B31B3" w:rsidRPr="009B31B3" w:rsidRDefault="009B31B3" w:rsidP="009B31B3">
      <w:pPr>
        <w:spacing w:after="120"/>
        <w:ind w:firstLine="709"/>
        <w:jc w:val="both"/>
        <w:rPr>
          <w:rFonts w:ascii="Times New Roman" w:eastAsia="Times New Roman" w:hAnsi="Times New Roman" w:cs="Times New Roman"/>
          <w:sz w:val="22"/>
          <w:szCs w:val="22"/>
          <w:lang w:val="la"/>
        </w:rPr>
      </w:pPr>
      <w:r w:rsidRPr="009B31B3">
        <w:rPr>
          <w:rFonts w:ascii="Times New Roman" w:eastAsia="Times New Roman" w:hAnsi="Times New Roman" w:cs="Times New Roman"/>
          <w:sz w:val="22"/>
          <w:szCs w:val="22"/>
          <w:lang w:val="la"/>
        </w:rPr>
        <w:t>Además, les ayuda a expresar sus ideas en términos formales, empleando un lenguaje profesional (“al identificar el fallo, quizá no sabía cómo expresarlo en términos didáctico-matemáticos”, MF29), aspecto que se puede considerar una evidencia de mejora en la competencia reflexiva de los participantes (Ivars et al., 2018).</w:t>
      </w:r>
    </w:p>
    <w:p w14:paraId="1B857F1E" w14:textId="774ED54C" w:rsidR="235DF6B6" w:rsidRPr="009B31B3" w:rsidRDefault="009B31B3" w:rsidP="009B31B3">
      <w:pPr>
        <w:spacing w:after="120"/>
        <w:ind w:firstLine="709"/>
        <w:jc w:val="both"/>
        <w:rPr>
          <w:rFonts w:ascii="Times New Roman" w:hAnsi="Times New Roman" w:cs="Times New Roman"/>
          <w:sz w:val="22"/>
          <w:szCs w:val="22"/>
          <w:lang w:val="es-CR"/>
        </w:rPr>
      </w:pPr>
      <w:r w:rsidRPr="009B31B3">
        <w:rPr>
          <w:rFonts w:ascii="Times New Roman" w:eastAsia="Times New Roman" w:hAnsi="Times New Roman" w:cs="Times New Roman"/>
          <w:sz w:val="22"/>
          <w:szCs w:val="22"/>
          <w:lang w:val="la"/>
        </w:rPr>
        <w:t>Los libros de texto y otros recursos digitales sirven a los profesores como enlace entre el currículum previsto y el mundo tan diferente y complejo del aula (Valverde, et al., 2002), por lo que deben estar capacitados para emplearlos de diversas formas teniendo en cuenta las necesidades de sus estudiantes (Lloyd, 2002). Es posible que los resultados de nuestra investigación hubieran sido distintos con docentes en ejercicio o si los MF hubieran podido llevar a la práctica en un aula de primaria la lección y sus propuestas de mejora, como ocurre en el trabajo de Esqué y Breda (2021). Es necesario por tanto investigar los resultados de una intervención formativa como la descrita en este trabajo, cuando las propuestas deben ser implementadas de manera efectiva en un contexto real de clase.</w:t>
      </w:r>
    </w:p>
    <w:p w14:paraId="3DE74F85" w14:textId="77777777" w:rsidR="009B31B3" w:rsidRDefault="009B31B3" w:rsidP="001A3ECC">
      <w:pPr>
        <w:spacing w:after="120"/>
        <w:ind w:firstLine="709"/>
        <w:jc w:val="both"/>
        <w:rPr>
          <w:rFonts w:ascii="Times New Roman" w:eastAsia="Times New Roman" w:hAnsi="Times New Roman" w:cs="Times New Roman"/>
          <w:b/>
          <w:bCs/>
        </w:rPr>
      </w:pPr>
      <w:r w:rsidRPr="009B31B3">
        <w:rPr>
          <w:rFonts w:ascii="Times New Roman" w:eastAsia="Times New Roman" w:hAnsi="Times New Roman" w:cs="Times New Roman"/>
          <w:b/>
          <w:bCs/>
        </w:rPr>
        <w:t>R</w:t>
      </w:r>
      <w:r>
        <w:rPr>
          <w:rFonts w:ascii="Times New Roman" w:eastAsia="Times New Roman" w:hAnsi="Times New Roman" w:cs="Times New Roman"/>
          <w:b/>
          <w:bCs/>
        </w:rPr>
        <w:t>ECONOCIMIENTO</w:t>
      </w:r>
    </w:p>
    <w:p w14:paraId="78EED0B0" w14:textId="338B739C" w:rsidR="57A38557" w:rsidRPr="001A3ECC" w:rsidRDefault="007B7D68" w:rsidP="00354577">
      <w:pPr>
        <w:spacing w:line="360" w:lineRule="auto"/>
        <w:ind w:firstLine="709"/>
        <w:rPr>
          <w:rFonts w:ascii="Times New Roman" w:hAnsi="Times New Roman" w:cs="Times New Roman"/>
          <w:sz w:val="22"/>
          <w:szCs w:val="22"/>
        </w:rPr>
      </w:pPr>
      <w:r w:rsidRPr="007B7D68">
        <w:rPr>
          <w:rFonts w:ascii="Times New Roman" w:eastAsia="Times New Roman" w:hAnsi="Times New Roman" w:cs="Times New Roman"/>
          <w:b/>
          <w:bCs/>
        </w:rPr>
        <w:t>DECLARACIONES DE LOS AUTORES</w:t>
      </w:r>
    </w:p>
    <w:p w14:paraId="311D58F8" w14:textId="2BC187F4" w:rsidR="235DF6B6" w:rsidRPr="001A3ECC" w:rsidRDefault="009B31B3" w:rsidP="00354577">
      <w:pPr>
        <w:spacing w:line="360" w:lineRule="auto"/>
        <w:ind w:firstLine="709"/>
        <w:rPr>
          <w:rFonts w:ascii="Times New Roman" w:hAnsi="Times New Roman" w:cs="Times New Roman"/>
          <w:sz w:val="22"/>
          <w:szCs w:val="22"/>
        </w:rPr>
      </w:pPr>
      <w:r w:rsidRPr="009B31B3">
        <w:rPr>
          <w:rFonts w:ascii="Times New Roman" w:eastAsia="Times New Roman" w:hAnsi="Times New Roman" w:cs="Times New Roman"/>
          <w:b/>
          <w:bCs/>
        </w:rPr>
        <w:lastRenderedPageBreak/>
        <w:t>DECLARACIÓN DE DISPONIBILIDAD DE DATOS</w:t>
      </w:r>
    </w:p>
    <w:p w14:paraId="77A10BAD" w14:textId="2CCC1753" w:rsidR="235DF6B6" w:rsidRPr="00411407" w:rsidRDefault="009B31B3" w:rsidP="009B31B3">
      <w:pPr>
        <w:spacing w:after="120"/>
        <w:ind w:firstLine="709"/>
        <w:jc w:val="both"/>
        <w:rPr>
          <w:rFonts w:ascii="Times New Roman" w:hAnsi="Times New Roman" w:cs="Times New Roman"/>
          <w:sz w:val="22"/>
          <w:szCs w:val="22"/>
        </w:rPr>
      </w:pPr>
      <w:r w:rsidRPr="009B31B3">
        <w:rPr>
          <w:rFonts w:ascii="Times New Roman" w:eastAsia="Times New Roman" w:hAnsi="Times New Roman" w:cs="Times New Roman"/>
          <w:sz w:val="22"/>
          <w:szCs w:val="22"/>
        </w:rPr>
        <w:t>Los datos que respaldan los resultados de este estudio serán puestos a disposición por el autor de correspondencia, previa solicitud razonable.</w:t>
      </w:r>
      <w:r w:rsidRPr="009B31B3">
        <w:t xml:space="preserve"> </w:t>
      </w:r>
    </w:p>
    <w:p w14:paraId="0B59DC3B" w14:textId="57593149" w:rsidR="235DF6B6" w:rsidRPr="00411407" w:rsidRDefault="7DE10795" w:rsidP="00411407">
      <w:pPr>
        <w:spacing w:after="120"/>
        <w:ind w:firstLine="709"/>
        <w:jc w:val="both"/>
        <w:rPr>
          <w:rFonts w:ascii="Times New Roman" w:hAnsi="Times New Roman" w:cs="Times New Roman"/>
          <w:sz w:val="22"/>
          <w:szCs w:val="22"/>
        </w:rPr>
      </w:pPr>
      <w:r w:rsidRPr="00411407">
        <w:rPr>
          <w:rFonts w:ascii="Times New Roman" w:eastAsia="Times New Roman" w:hAnsi="Times New Roman" w:cs="Times New Roman"/>
          <w:sz w:val="22"/>
          <w:szCs w:val="22"/>
        </w:rPr>
        <w:t xml:space="preserve"> </w:t>
      </w:r>
    </w:p>
    <w:p w14:paraId="7A421D82" w14:textId="6AD4E320" w:rsidR="235DF6B6" w:rsidRPr="00DF1548" w:rsidRDefault="7DE10795" w:rsidP="0023117A">
      <w:pPr>
        <w:spacing w:after="120"/>
        <w:ind w:firstLine="709"/>
        <w:rPr>
          <w:rFonts w:ascii="Times New Roman" w:eastAsia="Times New Roman" w:hAnsi="Times New Roman" w:cs="Times New Roman"/>
          <w:b/>
          <w:bCs/>
          <w:lang w:val="en-US"/>
        </w:rPr>
      </w:pPr>
      <w:r w:rsidRPr="00DF1548">
        <w:rPr>
          <w:rFonts w:ascii="Times New Roman" w:eastAsia="Times New Roman" w:hAnsi="Times New Roman" w:cs="Times New Roman"/>
          <w:b/>
          <w:bCs/>
          <w:lang w:val="en-US"/>
        </w:rPr>
        <w:t>REFERENC</w:t>
      </w:r>
      <w:r w:rsidR="007B7D68" w:rsidRPr="00DF1548">
        <w:rPr>
          <w:rFonts w:ascii="Times New Roman" w:eastAsia="Times New Roman" w:hAnsi="Times New Roman" w:cs="Times New Roman"/>
          <w:b/>
          <w:bCs/>
          <w:lang w:val="en-US"/>
        </w:rPr>
        <w:t>IA</w:t>
      </w:r>
      <w:r w:rsidRPr="00DF1548">
        <w:rPr>
          <w:rFonts w:ascii="Times New Roman" w:eastAsia="Times New Roman" w:hAnsi="Times New Roman" w:cs="Times New Roman"/>
          <w:b/>
          <w:bCs/>
          <w:lang w:val="en-US"/>
        </w:rPr>
        <w:t>S</w:t>
      </w:r>
    </w:p>
    <w:p w14:paraId="4C72A48D"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t xml:space="preserve">Ahl, L. M. (2016). Research findings’ impact on the representation of proportional reasoning in Swedish Mathematics textbooks. </w:t>
      </w:r>
      <w:r w:rsidRPr="007B7D68">
        <w:rPr>
          <w:rFonts w:ascii="Times New Roman" w:hAnsi="Times New Roman" w:cs="Times New Roman"/>
          <w:i/>
          <w:iCs/>
          <w:sz w:val="22"/>
          <w:szCs w:val="22"/>
          <w:lang w:val="en-US"/>
        </w:rPr>
        <w:t>REDIMAT, 5</w:t>
      </w:r>
      <w:r w:rsidRPr="007B7D68">
        <w:rPr>
          <w:rFonts w:ascii="Times New Roman" w:hAnsi="Times New Roman" w:cs="Times New Roman"/>
          <w:sz w:val="22"/>
          <w:szCs w:val="22"/>
          <w:lang w:val="en-US"/>
        </w:rPr>
        <w:t xml:space="preserve">(2), 180-204. </w:t>
      </w:r>
      <w:proofErr w:type="spellStart"/>
      <w:r w:rsidRPr="007B7D68">
        <w:rPr>
          <w:rFonts w:ascii="Times New Roman" w:hAnsi="Times New Roman" w:cs="Times New Roman"/>
          <w:sz w:val="22"/>
          <w:szCs w:val="22"/>
          <w:lang w:val="en-US"/>
        </w:rPr>
        <w:t>doi</w:t>
      </w:r>
      <w:proofErr w:type="spellEnd"/>
      <w:r w:rsidRPr="007B7D68">
        <w:rPr>
          <w:rFonts w:ascii="Times New Roman" w:hAnsi="Times New Roman" w:cs="Times New Roman"/>
          <w:sz w:val="22"/>
          <w:szCs w:val="22"/>
          <w:lang w:val="en-US"/>
        </w:rPr>
        <w:t>: 10.4471/redimat.2016.1987.</w:t>
      </w:r>
    </w:p>
    <w:p w14:paraId="651F80C0"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t xml:space="preserve">Ben-Chaim, D., Keret, Y. y </w:t>
      </w:r>
      <w:proofErr w:type="spellStart"/>
      <w:r w:rsidRPr="007B7D68">
        <w:rPr>
          <w:rFonts w:ascii="Times New Roman" w:hAnsi="Times New Roman" w:cs="Times New Roman"/>
          <w:sz w:val="22"/>
          <w:szCs w:val="22"/>
          <w:lang w:val="en-US"/>
        </w:rPr>
        <w:t>Ilany</w:t>
      </w:r>
      <w:proofErr w:type="spellEnd"/>
      <w:r w:rsidRPr="007B7D68">
        <w:rPr>
          <w:rFonts w:ascii="Times New Roman" w:hAnsi="Times New Roman" w:cs="Times New Roman"/>
          <w:sz w:val="22"/>
          <w:szCs w:val="22"/>
          <w:lang w:val="en-US"/>
        </w:rPr>
        <w:t xml:space="preserve">, B. S. (2012) </w:t>
      </w:r>
      <w:r w:rsidRPr="007B7D68">
        <w:rPr>
          <w:rFonts w:ascii="Times New Roman" w:hAnsi="Times New Roman" w:cs="Times New Roman"/>
          <w:i/>
          <w:iCs/>
          <w:sz w:val="22"/>
          <w:szCs w:val="22"/>
          <w:lang w:val="en-US"/>
        </w:rPr>
        <w:t>Ratio and proportion: Research and teaching in mathematics teachers’ education.</w:t>
      </w:r>
      <w:r w:rsidRPr="007B7D68">
        <w:rPr>
          <w:rFonts w:ascii="Times New Roman" w:hAnsi="Times New Roman" w:cs="Times New Roman"/>
          <w:sz w:val="22"/>
          <w:szCs w:val="22"/>
          <w:lang w:val="en-US"/>
        </w:rPr>
        <w:t xml:space="preserve"> Rotterdam: Sense Publisher.</w:t>
      </w:r>
    </w:p>
    <w:p w14:paraId="049B2331"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t xml:space="preserve">Berk, D., Taber, S. B., </w:t>
      </w:r>
      <w:proofErr w:type="spellStart"/>
      <w:r w:rsidRPr="007B7D68">
        <w:rPr>
          <w:rFonts w:ascii="Times New Roman" w:hAnsi="Times New Roman" w:cs="Times New Roman"/>
          <w:sz w:val="22"/>
          <w:szCs w:val="22"/>
          <w:lang w:val="en-US"/>
        </w:rPr>
        <w:t>Gorowara</w:t>
      </w:r>
      <w:proofErr w:type="spellEnd"/>
      <w:r w:rsidRPr="007B7D68">
        <w:rPr>
          <w:rFonts w:ascii="Times New Roman" w:hAnsi="Times New Roman" w:cs="Times New Roman"/>
          <w:sz w:val="22"/>
          <w:szCs w:val="22"/>
          <w:lang w:val="en-US"/>
        </w:rPr>
        <w:t xml:space="preserve">, C. C. y Poetzl, C. (2009). Developing prospective elementary teachers’ flexibility in the domain of proportional reasoning. </w:t>
      </w:r>
      <w:r w:rsidRPr="007B7D68">
        <w:rPr>
          <w:rFonts w:ascii="Times New Roman" w:hAnsi="Times New Roman" w:cs="Times New Roman"/>
          <w:i/>
          <w:iCs/>
          <w:sz w:val="22"/>
          <w:szCs w:val="22"/>
          <w:lang w:val="en-US"/>
        </w:rPr>
        <w:t>Mathematical Thinking and Learning, 11</w:t>
      </w:r>
      <w:r w:rsidRPr="007B7D68">
        <w:rPr>
          <w:rFonts w:ascii="Times New Roman" w:hAnsi="Times New Roman" w:cs="Times New Roman"/>
          <w:sz w:val="22"/>
          <w:szCs w:val="22"/>
          <w:lang w:val="en-US"/>
        </w:rPr>
        <w:t>(3), 113-135.</w:t>
      </w:r>
    </w:p>
    <w:p w14:paraId="4EA1AF52"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lang w:val="en-US"/>
        </w:rPr>
        <w:t xml:space="preserve">Beyer, C. J., y Davis, E. A. (2012). Learning to critique and adapt science curriculum materials: Examining the development of preservice elementary teachers’ pedagogical content knowledge. </w:t>
      </w:r>
      <w:proofErr w:type="spellStart"/>
      <w:r w:rsidRPr="007B7D68">
        <w:rPr>
          <w:rFonts w:ascii="Times New Roman" w:hAnsi="Times New Roman" w:cs="Times New Roman"/>
          <w:i/>
          <w:iCs/>
          <w:sz w:val="22"/>
          <w:szCs w:val="22"/>
        </w:rPr>
        <w:t>Science</w:t>
      </w:r>
      <w:proofErr w:type="spellEnd"/>
      <w:r w:rsidRPr="007B7D68">
        <w:rPr>
          <w:rFonts w:ascii="Times New Roman" w:hAnsi="Times New Roman" w:cs="Times New Roman"/>
          <w:i/>
          <w:iCs/>
          <w:sz w:val="22"/>
          <w:szCs w:val="22"/>
        </w:rPr>
        <w:t xml:space="preserve"> </w:t>
      </w:r>
      <w:proofErr w:type="spellStart"/>
      <w:r w:rsidRPr="007B7D68">
        <w:rPr>
          <w:rFonts w:ascii="Times New Roman" w:hAnsi="Times New Roman" w:cs="Times New Roman"/>
          <w:i/>
          <w:iCs/>
          <w:sz w:val="22"/>
          <w:szCs w:val="22"/>
        </w:rPr>
        <w:t>Education</w:t>
      </w:r>
      <w:proofErr w:type="spellEnd"/>
      <w:r w:rsidRPr="007B7D68">
        <w:rPr>
          <w:rFonts w:ascii="Times New Roman" w:hAnsi="Times New Roman" w:cs="Times New Roman"/>
          <w:i/>
          <w:iCs/>
          <w:sz w:val="22"/>
          <w:szCs w:val="22"/>
        </w:rPr>
        <w:t>, 96</w:t>
      </w:r>
      <w:r w:rsidRPr="007B7D68">
        <w:rPr>
          <w:rFonts w:ascii="Times New Roman" w:hAnsi="Times New Roman" w:cs="Times New Roman"/>
          <w:sz w:val="22"/>
          <w:szCs w:val="22"/>
        </w:rPr>
        <w:t xml:space="preserve">(1), 130-157. </w:t>
      </w:r>
      <w:hyperlink r:id="rId19" w:history="1">
        <w:r w:rsidRPr="007B7D68">
          <w:rPr>
            <w:rStyle w:val="Hipervnculo"/>
            <w:rFonts w:ascii="Times New Roman" w:hAnsi="Times New Roman" w:cs="Times New Roman"/>
            <w:sz w:val="22"/>
            <w:szCs w:val="22"/>
          </w:rPr>
          <w:t>https://doi.org/10.1002/sce.20466</w:t>
        </w:r>
      </w:hyperlink>
    </w:p>
    <w:p w14:paraId="2BCFB030"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rPr>
        <w:t xml:space="preserve">Breda, A. (2020) del análisis didáctico realizado por profesores para justificar la mejora en la enseñanza de las matemáticas, </w:t>
      </w:r>
      <w:r w:rsidRPr="007B7D68">
        <w:rPr>
          <w:rFonts w:ascii="Times New Roman" w:hAnsi="Times New Roman" w:cs="Times New Roman"/>
          <w:i/>
          <w:iCs/>
          <w:sz w:val="22"/>
          <w:szCs w:val="22"/>
        </w:rPr>
        <w:t>Bolema, 34</w:t>
      </w:r>
      <w:r w:rsidRPr="007B7D68">
        <w:rPr>
          <w:rFonts w:ascii="Times New Roman" w:hAnsi="Times New Roman" w:cs="Times New Roman"/>
          <w:sz w:val="22"/>
          <w:szCs w:val="22"/>
        </w:rPr>
        <w:t>(66), 69-88.</w:t>
      </w:r>
    </w:p>
    <w:p w14:paraId="59A6DB48"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rPr>
        <w:t xml:space="preserve">Breda, A., Font, V. y Pino-Fan, L. (2018). Criterios valorativos y normativos en la Didáctica de las Matemáticas: el caso del constructo idoneidad didáctica. </w:t>
      </w:r>
      <w:r w:rsidRPr="007B7D68">
        <w:rPr>
          <w:rFonts w:ascii="Times New Roman" w:hAnsi="Times New Roman" w:cs="Times New Roman"/>
          <w:i/>
          <w:iCs/>
          <w:sz w:val="22"/>
          <w:szCs w:val="22"/>
          <w:lang w:val="en-US"/>
        </w:rPr>
        <w:t>Bolema, 32</w:t>
      </w:r>
      <w:r w:rsidRPr="007B7D68">
        <w:rPr>
          <w:rFonts w:ascii="Times New Roman" w:hAnsi="Times New Roman" w:cs="Times New Roman"/>
          <w:sz w:val="22"/>
          <w:szCs w:val="22"/>
          <w:lang w:val="en-US"/>
        </w:rPr>
        <w:t>(60), 255–278. http://dx.doi.org/10.1590/1980-4415v32n60a13</w:t>
      </w:r>
    </w:p>
    <w:p w14:paraId="71373BAF"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t xml:space="preserve">Breda, A., Pino-Fan, L. R. y Font, V. (2017). Meta didactic-mathematical knowledge of teachers: criteria for the reflection and assessment on teaching practice. </w:t>
      </w:r>
      <w:r w:rsidRPr="007B7D68">
        <w:rPr>
          <w:rFonts w:ascii="Times New Roman" w:hAnsi="Times New Roman" w:cs="Times New Roman"/>
          <w:i/>
          <w:iCs/>
          <w:sz w:val="22"/>
          <w:szCs w:val="22"/>
          <w:lang w:val="en-US"/>
        </w:rPr>
        <w:t>EURASIA Journal of Mathematics, Science and Technology Education</w:t>
      </w:r>
      <w:r w:rsidRPr="007B7D68">
        <w:rPr>
          <w:rFonts w:ascii="Times New Roman" w:hAnsi="Times New Roman" w:cs="Times New Roman"/>
          <w:sz w:val="22"/>
          <w:szCs w:val="22"/>
          <w:lang w:val="en-US"/>
        </w:rPr>
        <w:t xml:space="preserve">, </w:t>
      </w:r>
      <w:r w:rsidRPr="007B7D68">
        <w:rPr>
          <w:rFonts w:ascii="Times New Roman" w:hAnsi="Times New Roman" w:cs="Times New Roman"/>
          <w:i/>
          <w:iCs/>
          <w:sz w:val="22"/>
          <w:szCs w:val="22"/>
          <w:lang w:val="en-US"/>
        </w:rPr>
        <w:t>13</w:t>
      </w:r>
      <w:r w:rsidRPr="007B7D68">
        <w:rPr>
          <w:rFonts w:ascii="Times New Roman" w:hAnsi="Times New Roman" w:cs="Times New Roman"/>
          <w:sz w:val="22"/>
          <w:szCs w:val="22"/>
          <w:lang w:val="en-US"/>
        </w:rPr>
        <w:t>(6), 1893-1918. Doi: 10.12973/eurasia.2017.01207a</w:t>
      </w:r>
    </w:p>
    <w:p w14:paraId="6EF9A34E" w14:textId="77777777" w:rsidR="007B7D68" w:rsidRPr="007B7D68" w:rsidRDefault="007B7D68" w:rsidP="0018220E">
      <w:pPr>
        <w:spacing w:after="120"/>
        <w:ind w:left="709" w:hanging="709"/>
        <w:jc w:val="both"/>
        <w:rPr>
          <w:rFonts w:ascii="Times New Roman" w:hAnsi="Times New Roman" w:cs="Times New Roman"/>
          <w:sz w:val="22"/>
          <w:szCs w:val="22"/>
        </w:rPr>
      </w:pPr>
      <w:proofErr w:type="spellStart"/>
      <w:r w:rsidRPr="007B7D68">
        <w:rPr>
          <w:rFonts w:ascii="Times New Roman" w:hAnsi="Times New Roman" w:cs="Times New Roman"/>
          <w:sz w:val="22"/>
          <w:szCs w:val="22"/>
        </w:rPr>
        <w:t>Buforn</w:t>
      </w:r>
      <w:proofErr w:type="spellEnd"/>
      <w:r w:rsidRPr="007B7D68">
        <w:rPr>
          <w:rFonts w:ascii="Times New Roman" w:hAnsi="Times New Roman" w:cs="Times New Roman"/>
          <w:sz w:val="22"/>
          <w:szCs w:val="22"/>
        </w:rPr>
        <w:t xml:space="preserve">, A., Llinares, S. y Fernández, C. (2018) Características del conocimiento de los estudiantes para maestro españoles en relación con la fracción, razón y proporción. </w:t>
      </w:r>
      <w:r w:rsidRPr="007B7D68">
        <w:rPr>
          <w:rFonts w:ascii="Times New Roman" w:hAnsi="Times New Roman" w:cs="Times New Roman"/>
          <w:i/>
          <w:iCs/>
          <w:sz w:val="22"/>
          <w:szCs w:val="22"/>
        </w:rPr>
        <w:t>Revista Mexicana de Investigación Educativa, 23</w:t>
      </w:r>
      <w:r w:rsidRPr="007B7D68">
        <w:rPr>
          <w:rFonts w:ascii="Times New Roman" w:hAnsi="Times New Roman" w:cs="Times New Roman"/>
          <w:sz w:val="22"/>
          <w:szCs w:val="22"/>
        </w:rPr>
        <w:t>, 229-251.</w:t>
      </w:r>
    </w:p>
    <w:p w14:paraId="4D705BB5" w14:textId="5D247F64" w:rsidR="003541DB" w:rsidRPr="009B7C48" w:rsidRDefault="003541DB" w:rsidP="0018220E">
      <w:pPr>
        <w:ind w:left="709" w:hanging="709"/>
        <w:jc w:val="both"/>
        <w:rPr>
          <w:rFonts w:ascii="Times New Roman" w:hAnsi="Times New Roman" w:cs="Times New Roman"/>
          <w:sz w:val="22"/>
          <w:szCs w:val="22"/>
        </w:rPr>
      </w:pPr>
      <w:r w:rsidRPr="009B7C48">
        <w:rPr>
          <w:rFonts w:ascii="Times New Roman" w:hAnsi="Times New Roman" w:cs="Times New Roman"/>
          <w:sz w:val="22"/>
          <w:szCs w:val="22"/>
        </w:rPr>
        <w:lastRenderedPageBreak/>
        <w:t>Author et al. (2022). [details removed for peer review]</w:t>
      </w:r>
    </w:p>
    <w:p w14:paraId="6E836892" w14:textId="56567A12" w:rsidR="003541DB" w:rsidRPr="007B7D68" w:rsidRDefault="003541DB" w:rsidP="003541DB">
      <w:pPr>
        <w:ind w:left="709" w:hanging="709"/>
        <w:jc w:val="both"/>
        <w:rPr>
          <w:rFonts w:ascii="Times New Roman" w:hAnsi="Times New Roman" w:cs="Times New Roman"/>
          <w:sz w:val="22"/>
          <w:szCs w:val="22"/>
          <w:lang w:val="en-US"/>
        </w:rPr>
      </w:pPr>
      <w:r w:rsidRPr="003541DB">
        <w:rPr>
          <w:rFonts w:ascii="Times New Roman" w:hAnsi="Times New Roman" w:cs="Times New Roman"/>
          <w:sz w:val="22"/>
          <w:szCs w:val="22"/>
          <w:lang w:val="en-US"/>
        </w:rPr>
        <w:t>Author et al. (20</w:t>
      </w:r>
      <w:r>
        <w:rPr>
          <w:rFonts w:ascii="Times New Roman" w:hAnsi="Times New Roman" w:cs="Times New Roman"/>
          <w:sz w:val="22"/>
          <w:szCs w:val="22"/>
          <w:lang w:val="en-US"/>
        </w:rPr>
        <w:t>21)</w:t>
      </w:r>
      <w:r w:rsidRPr="003541DB">
        <w:rPr>
          <w:rFonts w:ascii="Times New Roman" w:hAnsi="Times New Roman" w:cs="Times New Roman"/>
          <w:sz w:val="22"/>
          <w:szCs w:val="22"/>
          <w:lang w:val="en-US"/>
        </w:rPr>
        <w:t>. [details removed for peer review]</w:t>
      </w:r>
    </w:p>
    <w:p w14:paraId="2E9995EC" w14:textId="77777777" w:rsidR="003541DB" w:rsidRDefault="003541DB" w:rsidP="003541DB">
      <w:pPr>
        <w:ind w:left="709" w:hanging="709"/>
        <w:jc w:val="both"/>
        <w:rPr>
          <w:rFonts w:ascii="Times New Roman" w:hAnsi="Times New Roman" w:cs="Times New Roman"/>
          <w:sz w:val="22"/>
          <w:szCs w:val="22"/>
          <w:lang w:val="en-US"/>
        </w:rPr>
      </w:pPr>
      <w:r w:rsidRPr="003541DB">
        <w:rPr>
          <w:rFonts w:ascii="Times New Roman" w:hAnsi="Times New Roman" w:cs="Times New Roman"/>
          <w:sz w:val="22"/>
          <w:szCs w:val="22"/>
          <w:lang w:val="en-US"/>
        </w:rPr>
        <w:t>Author et al. (20</w:t>
      </w:r>
      <w:r>
        <w:rPr>
          <w:rFonts w:ascii="Times New Roman" w:hAnsi="Times New Roman" w:cs="Times New Roman"/>
          <w:sz w:val="22"/>
          <w:szCs w:val="22"/>
          <w:lang w:val="en-US"/>
        </w:rPr>
        <w:t>20</w:t>
      </w:r>
      <w:r w:rsidRPr="003541DB">
        <w:rPr>
          <w:rFonts w:ascii="Times New Roman" w:hAnsi="Times New Roman" w:cs="Times New Roman"/>
          <w:sz w:val="22"/>
          <w:szCs w:val="22"/>
          <w:lang w:val="en-US"/>
        </w:rPr>
        <w:t>). [details removed for peer review]</w:t>
      </w:r>
    </w:p>
    <w:p w14:paraId="551938CE" w14:textId="76240F41" w:rsidR="003541DB" w:rsidRPr="007B7D68" w:rsidRDefault="003541DB" w:rsidP="003541DB">
      <w:pPr>
        <w:ind w:left="709" w:hanging="709"/>
        <w:jc w:val="both"/>
        <w:rPr>
          <w:rFonts w:ascii="Times New Roman" w:hAnsi="Times New Roman" w:cs="Times New Roman"/>
          <w:sz w:val="22"/>
          <w:szCs w:val="22"/>
          <w:lang w:val="en-US"/>
        </w:rPr>
      </w:pPr>
      <w:r w:rsidRPr="003541DB">
        <w:rPr>
          <w:rFonts w:ascii="Times New Roman" w:hAnsi="Times New Roman" w:cs="Times New Roman"/>
          <w:sz w:val="22"/>
          <w:szCs w:val="22"/>
          <w:lang w:val="en-US"/>
        </w:rPr>
        <w:t>Author et al. (20</w:t>
      </w:r>
      <w:r>
        <w:rPr>
          <w:rFonts w:ascii="Times New Roman" w:hAnsi="Times New Roman" w:cs="Times New Roman"/>
          <w:sz w:val="22"/>
          <w:szCs w:val="22"/>
          <w:lang w:val="en-US"/>
        </w:rPr>
        <w:t>18</w:t>
      </w:r>
      <w:r w:rsidRPr="003541DB">
        <w:rPr>
          <w:rFonts w:ascii="Times New Roman" w:hAnsi="Times New Roman" w:cs="Times New Roman"/>
          <w:sz w:val="22"/>
          <w:szCs w:val="22"/>
          <w:lang w:val="en-US"/>
        </w:rPr>
        <w:t>). [details removed for peer review]</w:t>
      </w:r>
    </w:p>
    <w:p w14:paraId="606A18C3" w14:textId="29E926D0" w:rsidR="003541DB" w:rsidRPr="007B7D68" w:rsidRDefault="003541DB" w:rsidP="003541DB">
      <w:pPr>
        <w:ind w:left="709" w:hanging="709"/>
        <w:jc w:val="both"/>
        <w:rPr>
          <w:rFonts w:ascii="Times New Roman" w:hAnsi="Times New Roman" w:cs="Times New Roman"/>
          <w:sz w:val="22"/>
          <w:szCs w:val="22"/>
          <w:lang w:val="en-US"/>
        </w:rPr>
      </w:pPr>
      <w:r w:rsidRPr="003541DB">
        <w:rPr>
          <w:rFonts w:ascii="Times New Roman" w:hAnsi="Times New Roman" w:cs="Times New Roman"/>
          <w:sz w:val="22"/>
          <w:szCs w:val="22"/>
          <w:lang w:val="en-US"/>
        </w:rPr>
        <w:t>Author et al. (20</w:t>
      </w:r>
      <w:r>
        <w:rPr>
          <w:rFonts w:ascii="Times New Roman" w:hAnsi="Times New Roman" w:cs="Times New Roman"/>
          <w:sz w:val="22"/>
          <w:szCs w:val="22"/>
          <w:lang w:val="en-US"/>
        </w:rPr>
        <w:t>20</w:t>
      </w:r>
      <w:r w:rsidRPr="003541DB">
        <w:rPr>
          <w:rFonts w:ascii="Times New Roman" w:hAnsi="Times New Roman" w:cs="Times New Roman"/>
          <w:sz w:val="22"/>
          <w:szCs w:val="22"/>
          <w:lang w:val="en-US"/>
        </w:rPr>
        <w:t>). [details removed for peer review]</w:t>
      </w:r>
    </w:p>
    <w:p w14:paraId="7082BA5F" w14:textId="77777777" w:rsidR="003541DB" w:rsidRPr="007B7D68" w:rsidRDefault="003541DB" w:rsidP="003541DB">
      <w:pPr>
        <w:ind w:left="709" w:hanging="709"/>
        <w:jc w:val="both"/>
        <w:rPr>
          <w:rFonts w:ascii="Times New Roman" w:hAnsi="Times New Roman" w:cs="Times New Roman"/>
          <w:sz w:val="22"/>
          <w:szCs w:val="22"/>
          <w:lang w:val="en-US"/>
        </w:rPr>
      </w:pPr>
      <w:r w:rsidRPr="003541DB">
        <w:rPr>
          <w:rFonts w:ascii="Times New Roman" w:hAnsi="Times New Roman" w:cs="Times New Roman"/>
          <w:sz w:val="22"/>
          <w:szCs w:val="22"/>
          <w:lang w:val="en-US"/>
        </w:rPr>
        <w:t>Author et al. (20</w:t>
      </w:r>
      <w:r>
        <w:rPr>
          <w:rFonts w:ascii="Times New Roman" w:hAnsi="Times New Roman" w:cs="Times New Roman"/>
          <w:sz w:val="22"/>
          <w:szCs w:val="22"/>
          <w:lang w:val="en-US"/>
        </w:rPr>
        <w:t>22</w:t>
      </w:r>
      <w:r w:rsidRPr="003541DB">
        <w:rPr>
          <w:rFonts w:ascii="Times New Roman" w:hAnsi="Times New Roman" w:cs="Times New Roman"/>
          <w:sz w:val="22"/>
          <w:szCs w:val="22"/>
          <w:lang w:val="en-US"/>
        </w:rPr>
        <w:t>). [details removed for peer review]</w:t>
      </w:r>
    </w:p>
    <w:p w14:paraId="6234D348" w14:textId="023830E4" w:rsidR="003541DB" w:rsidRPr="007B7D68" w:rsidRDefault="003541DB" w:rsidP="003541DB">
      <w:pPr>
        <w:ind w:left="709" w:hanging="709"/>
        <w:jc w:val="both"/>
        <w:rPr>
          <w:rFonts w:ascii="Times New Roman" w:hAnsi="Times New Roman" w:cs="Times New Roman"/>
          <w:sz w:val="22"/>
          <w:szCs w:val="22"/>
          <w:lang w:val="en-US"/>
        </w:rPr>
      </w:pPr>
      <w:r w:rsidRPr="003541DB">
        <w:rPr>
          <w:rFonts w:ascii="Times New Roman" w:hAnsi="Times New Roman" w:cs="Times New Roman"/>
          <w:sz w:val="22"/>
          <w:szCs w:val="22"/>
          <w:lang w:val="en-US"/>
        </w:rPr>
        <w:t>Author et al. (20</w:t>
      </w:r>
      <w:r>
        <w:rPr>
          <w:rFonts w:ascii="Times New Roman" w:hAnsi="Times New Roman" w:cs="Times New Roman"/>
          <w:sz w:val="22"/>
          <w:szCs w:val="22"/>
          <w:lang w:val="en-US"/>
        </w:rPr>
        <w:t>21</w:t>
      </w:r>
      <w:r w:rsidRPr="003541DB">
        <w:rPr>
          <w:rFonts w:ascii="Times New Roman" w:hAnsi="Times New Roman" w:cs="Times New Roman"/>
          <w:sz w:val="22"/>
          <w:szCs w:val="22"/>
          <w:lang w:val="en-US"/>
        </w:rPr>
        <w:t>). [details removed for peer review]</w:t>
      </w:r>
    </w:p>
    <w:p w14:paraId="40B8598B" w14:textId="2E87D847" w:rsidR="003541DB" w:rsidRDefault="003541DB" w:rsidP="003541DB">
      <w:pPr>
        <w:ind w:left="709" w:hanging="709"/>
        <w:jc w:val="both"/>
        <w:rPr>
          <w:rFonts w:ascii="Times New Roman" w:hAnsi="Times New Roman" w:cs="Times New Roman"/>
          <w:sz w:val="22"/>
          <w:szCs w:val="22"/>
          <w:lang w:val="en-US"/>
        </w:rPr>
      </w:pPr>
      <w:r w:rsidRPr="003541DB">
        <w:rPr>
          <w:rFonts w:ascii="Times New Roman" w:hAnsi="Times New Roman" w:cs="Times New Roman"/>
          <w:sz w:val="22"/>
          <w:szCs w:val="22"/>
          <w:lang w:val="en-US"/>
        </w:rPr>
        <w:t>Author et al. (20</w:t>
      </w:r>
      <w:r>
        <w:rPr>
          <w:rFonts w:ascii="Times New Roman" w:hAnsi="Times New Roman" w:cs="Times New Roman"/>
          <w:sz w:val="22"/>
          <w:szCs w:val="22"/>
          <w:lang w:val="en-US"/>
        </w:rPr>
        <w:t>22a</w:t>
      </w:r>
      <w:r w:rsidRPr="003541DB">
        <w:rPr>
          <w:rFonts w:ascii="Times New Roman" w:hAnsi="Times New Roman" w:cs="Times New Roman"/>
          <w:sz w:val="22"/>
          <w:szCs w:val="22"/>
          <w:lang w:val="en-US"/>
        </w:rPr>
        <w:t>). [details removed for peer review]</w:t>
      </w:r>
    </w:p>
    <w:p w14:paraId="671D5EE6" w14:textId="6CCE78AA" w:rsidR="003541DB" w:rsidRPr="007B7D68" w:rsidRDefault="003541DB" w:rsidP="003541DB">
      <w:pPr>
        <w:ind w:left="709" w:hanging="709"/>
        <w:jc w:val="both"/>
        <w:rPr>
          <w:rFonts w:ascii="Times New Roman" w:hAnsi="Times New Roman" w:cs="Times New Roman"/>
          <w:sz w:val="22"/>
          <w:szCs w:val="22"/>
          <w:lang w:val="en-US"/>
        </w:rPr>
      </w:pPr>
      <w:r w:rsidRPr="003541DB">
        <w:rPr>
          <w:rFonts w:ascii="Times New Roman" w:hAnsi="Times New Roman" w:cs="Times New Roman"/>
          <w:sz w:val="22"/>
          <w:szCs w:val="22"/>
          <w:lang w:val="en-US"/>
        </w:rPr>
        <w:t>Author et al. (20</w:t>
      </w:r>
      <w:r>
        <w:rPr>
          <w:rFonts w:ascii="Times New Roman" w:hAnsi="Times New Roman" w:cs="Times New Roman"/>
          <w:sz w:val="22"/>
          <w:szCs w:val="22"/>
          <w:lang w:val="en-US"/>
        </w:rPr>
        <w:t>22b</w:t>
      </w:r>
      <w:r w:rsidRPr="003541DB">
        <w:rPr>
          <w:rFonts w:ascii="Times New Roman" w:hAnsi="Times New Roman" w:cs="Times New Roman"/>
          <w:sz w:val="22"/>
          <w:szCs w:val="22"/>
          <w:lang w:val="en-US"/>
        </w:rPr>
        <w:t>). [details removed for peer review]</w:t>
      </w:r>
    </w:p>
    <w:p w14:paraId="50E633AE" w14:textId="77777777" w:rsidR="007B7D68" w:rsidRPr="007B7D68" w:rsidRDefault="007B7D68" w:rsidP="0018220E">
      <w:pPr>
        <w:spacing w:after="120"/>
        <w:ind w:left="709" w:hanging="709"/>
        <w:jc w:val="both"/>
        <w:rPr>
          <w:rFonts w:ascii="Times New Roman" w:hAnsi="Times New Roman" w:cs="Times New Roman"/>
          <w:sz w:val="22"/>
          <w:szCs w:val="22"/>
          <w:lang w:val="en-US"/>
        </w:rPr>
      </w:pPr>
      <w:proofErr w:type="spellStart"/>
      <w:r w:rsidRPr="007B7D68">
        <w:rPr>
          <w:rFonts w:ascii="Times New Roman" w:eastAsia="Book Antiqua" w:hAnsi="Times New Roman" w:cs="Times New Roman"/>
          <w:spacing w:val="-1"/>
          <w:sz w:val="22"/>
          <w:szCs w:val="22"/>
          <w:lang w:val="en-US"/>
        </w:rPr>
        <w:t>Choppin</w:t>
      </w:r>
      <w:proofErr w:type="spellEnd"/>
      <w:r w:rsidRPr="007B7D68">
        <w:rPr>
          <w:rFonts w:ascii="Times New Roman" w:eastAsia="Book Antiqua" w:hAnsi="Times New Roman" w:cs="Times New Roman"/>
          <w:spacing w:val="-1"/>
          <w:sz w:val="22"/>
          <w:szCs w:val="22"/>
          <w:lang w:val="en-US"/>
        </w:rPr>
        <w:t>,</w:t>
      </w:r>
      <w:r w:rsidRPr="007B7D68">
        <w:rPr>
          <w:rFonts w:ascii="Times New Roman" w:eastAsia="Book Antiqua" w:hAnsi="Times New Roman" w:cs="Times New Roman"/>
          <w:spacing w:val="34"/>
          <w:sz w:val="22"/>
          <w:szCs w:val="22"/>
          <w:lang w:val="en-US"/>
        </w:rPr>
        <w:t xml:space="preserve"> </w:t>
      </w:r>
      <w:r w:rsidRPr="007B7D68">
        <w:rPr>
          <w:rFonts w:ascii="Times New Roman" w:eastAsia="Book Antiqua" w:hAnsi="Times New Roman" w:cs="Times New Roman"/>
          <w:sz w:val="22"/>
          <w:szCs w:val="22"/>
          <w:lang w:val="en-US"/>
        </w:rPr>
        <w:t>J.</w:t>
      </w:r>
      <w:r w:rsidRPr="007B7D68">
        <w:rPr>
          <w:rFonts w:ascii="Times New Roman" w:eastAsia="Book Antiqua" w:hAnsi="Times New Roman" w:cs="Times New Roman"/>
          <w:spacing w:val="35"/>
          <w:sz w:val="22"/>
          <w:szCs w:val="22"/>
          <w:lang w:val="en-US"/>
        </w:rPr>
        <w:t xml:space="preserve"> </w:t>
      </w:r>
      <w:r w:rsidRPr="007B7D68">
        <w:rPr>
          <w:rFonts w:ascii="Times New Roman" w:eastAsia="Book Antiqua" w:hAnsi="Times New Roman" w:cs="Times New Roman"/>
          <w:spacing w:val="-1"/>
          <w:sz w:val="22"/>
          <w:szCs w:val="22"/>
          <w:lang w:val="en-US"/>
        </w:rPr>
        <w:t>(2011).</w:t>
      </w:r>
      <w:r w:rsidRPr="007B7D68">
        <w:rPr>
          <w:rFonts w:ascii="Times New Roman" w:eastAsia="Book Antiqua" w:hAnsi="Times New Roman" w:cs="Times New Roman"/>
          <w:spacing w:val="35"/>
          <w:sz w:val="22"/>
          <w:szCs w:val="22"/>
          <w:lang w:val="en-US"/>
        </w:rPr>
        <w:t xml:space="preserve"> </w:t>
      </w:r>
      <w:r w:rsidRPr="007B7D68">
        <w:rPr>
          <w:rFonts w:ascii="Times New Roman" w:eastAsia="Book Antiqua" w:hAnsi="Times New Roman" w:cs="Times New Roman"/>
          <w:spacing w:val="-1"/>
          <w:sz w:val="22"/>
          <w:szCs w:val="22"/>
          <w:lang w:val="en-US"/>
        </w:rPr>
        <w:t>Learned</w:t>
      </w:r>
      <w:r w:rsidRPr="007B7D68">
        <w:rPr>
          <w:rFonts w:ascii="Times New Roman" w:eastAsia="Book Antiqua" w:hAnsi="Times New Roman" w:cs="Times New Roman"/>
          <w:spacing w:val="35"/>
          <w:sz w:val="22"/>
          <w:szCs w:val="22"/>
          <w:lang w:val="en-US"/>
        </w:rPr>
        <w:t xml:space="preserve"> </w:t>
      </w:r>
      <w:r w:rsidRPr="007B7D68">
        <w:rPr>
          <w:rFonts w:ascii="Times New Roman" w:eastAsia="Book Antiqua" w:hAnsi="Times New Roman" w:cs="Times New Roman"/>
          <w:spacing w:val="-1"/>
          <w:sz w:val="22"/>
          <w:szCs w:val="22"/>
          <w:lang w:val="en-US"/>
        </w:rPr>
        <w:t>adaptations:</w:t>
      </w:r>
      <w:r w:rsidRPr="007B7D68">
        <w:rPr>
          <w:rFonts w:ascii="Times New Roman" w:eastAsia="Book Antiqua" w:hAnsi="Times New Roman" w:cs="Times New Roman"/>
          <w:spacing w:val="35"/>
          <w:sz w:val="22"/>
          <w:szCs w:val="22"/>
          <w:lang w:val="en-US"/>
        </w:rPr>
        <w:t xml:space="preserve"> </w:t>
      </w:r>
      <w:r w:rsidRPr="007B7D68">
        <w:rPr>
          <w:rFonts w:ascii="Times New Roman" w:eastAsia="Book Antiqua" w:hAnsi="Times New Roman" w:cs="Times New Roman"/>
          <w:spacing w:val="-1"/>
          <w:sz w:val="22"/>
          <w:szCs w:val="22"/>
          <w:lang w:val="en-US"/>
        </w:rPr>
        <w:t>Teachers’</w:t>
      </w:r>
      <w:r w:rsidRPr="007B7D68">
        <w:rPr>
          <w:rFonts w:ascii="Times New Roman" w:eastAsia="Book Antiqua" w:hAnsi="Times New Roman" w:cs="Times New Roman"/>
          <w:spacing w:val="34"/>
          <w:sz w:val="22"/>
          <w:szCs w:val="22"/>
          <w:lang w:val="en-US"/>
        </w:rPr>
        <w:t xml:space="preserve"> </w:t>
      </w:r>
      <w:r w:rsidRPr="007B7D68">
        <w:rPr>
          <w:rFonts w:ascii="Times New Roman" w:eastAsia="Book Antiqua" w:hAnsi="Times New Roman" w:cs="Times New Roman"/>
          <w:spacing w:val="-1"/>
          <w:sz w:val="22"/>
          <w:szCs w:val="22"/>
          <w:lang w:val="en-US"/>
        </w:rPr>
        <w:t>understanding</w:t>
      </w:r>
      <w:r w:rsidRPr="007B7D68">
        <w:rPr>
          <w:rFonts w:ascii="Times New Roman" w:eastAsia="Book Antiqua" w:hAnsi="Times New Roman" w:cs="Times New Roman"/>
          <w:spacing w:val="35"/>
          <w:sz w:val="22"/>
          <w:szCs w:val="22"/>
          <w:lang w:val="en-US"/>
        </w:rPr>
        <w:t xml:space="preserve"> </w:t>
      </w:r>
      <w:r w:rsidRPr="007B7D68">
        <w:rPr>
          <w:rFonts w:ascii="Times New Roman" w:eastAsia="Book Antiqua" w:hAnsi="Times New Roman" w:cs="Times New Roman"/>
          <w:spacing w:val="-1"/>
          <w:sz w:val="22"/>
          <w:szCs w:val="22"/>
          <w:lang w:val="en-US"/>
        </w:rPr>
        <w:t>and</w:t>
      </w:r>
      <w:r w:rsidRPr="007B7D68">
        <w:rPr>
          <w:rFonts w:ascii="Times New Roman" w:eastAsia="Book Antiqua" w:hAnsi="Times New Roman" w:cs="Times New Roman"/>
          <w:spacing w:val="35"/>
          <w:sz w:val="22"/>
          <w:szCs w:val="22"/>
          <w:lang w:val="en-US"/>
        </w:rPr>
        <w:t xml:space="preserve"> </w:t>
      </w:r>
      <w:r w:rsidRPr="007B7D68">
        <w:rPr>
          <w:rFonts w:ascii="Times New Roman" w:eastAsia="Book Antiqua" w:hAnsi="Times New Roman" w:cs="Times New Roman"/>
          <w:spacing w:val="-1"/>
          <w:sz w:val="22"/>
          <w:szCs w:val="22"/>
          <w:lang w:val="en-US"/>
        </w:rPr>
        <w:t>use</w:t>
      </w:r>
      <w:r w:rsidRPr="007B7D68">
        <w:rPr>
          <w:rFonts w:ascii="Times New Roman" w:eastAsia="Book Antiqua" w:hAnsi="Times New Roman" w:cs="Times New Roman"/>
          <w:spacing w:val="33"/>
          <w:sz w:val="22"/>
          <w:szCs w:val="22"/>
          <w:lang w:val="en-US"/>
        </w:rPr>
        <w:t xml:space="preserve"> </w:t>
      </w:r>
      <w:r w:rsidRPr="007B7D68">
        <w:rPr>
          <w:rFonts w:ascii="Times New Roman" w:eastAsia="Book Antiqua" w:hAnsi="Times New Roman" w:cs="Times New Roman"/>
          <w:sz w:val="22"/>
          <w:szCs w:val="22"/>
          <w:lang w:val="en-US"/>
        </w:rPr>
        <w:t>of</w:t>
      </w:r>
      <w:r w:rsidRPr="007B7D68">
        <w:rPr>
          <w:rFonts w:ascii="Times New Roman" w:eastAsia="Book Antiqua" w:hAnsi="Times New Roman" w:cs="Times New Roman"/>
          <w:spacing w:val="34"/>
          <w:sz w:val="22"/>
          <w:szCs w:val="22"/>
          <w:lang w:val="en-US"/>
        </w:rPr>
        <w:t xml:space="preserve"> </w:t>
      </w:r>
      <w:r w:rsidRPr="007B7D68">
        <w:rPr>
          <w:rFonts w:ascii="Times New Roman" w:eastAsia="Book Antiqua" w:hAnsi="Times New Roman" w:cs="Times New Roman"/>
          <w:spacing w:val="-1"/>
          <w:sz w:val="22"/>
          <w:szCs w:val="22"/>
          <w:lang w:val="en-US"/>
        </w:rPr>
        <w:t>curriculum</w:t>
      </w:r>
      <w:r w:rsidRPr="007B7D68">
        <w:rPr>
          <w:rFonts w:ascii="Times New Roman" w:eastAsia="Book Antiqua" w:hAnsi="Times New Roman" w:cs="Times New Roman"/>
          <w:spacing w:val="34"/>
          <w:sz w:val="22"/>
          <w:szCs w:val="22"/>
          <w:lang w:val="en-US"/>
        </w:rPr>
        <w:t xml:space="preserve"> </w:t>
      </w:r>
      <w:r w:rsidRPr="007B7D68">
        <w:rPr>
          <w:rFonts w:ascii="Times New Roman" w:eastAsia="Book Antiqua" w:hAnsi="Times New Roman" w:cs="Times New Roman"/>
          <w:spacing w:val="-1"/>
          <w:sz w:val="22"/>
          <w:szCs w:val="22"/>
          <w:lang w:val="en-US"/>
        </w:rPr>
        <w:t>resources.</w:t>
      </w:r>
      <w:r w:rsidRPr="007B7D68">
        <w:rPr>
          <w:rFonts w:ascii="Times New Roman" w:eastAsia="Book Antiqua" w:hAnsi="Times New Roman" w:cs="Times New Roman"/>
          <w:sz w:val="22"/>
          <w:szCs w:val="22"/>
          <w:lang w:val="en-US"/>
        </w:rPr>
        <w:t xml:space="preserve"> </w:t>
      </w:r>
      <w:r w:rsidRPr="007B7D68">
        <w:rPr>
          <w:rFonts w:ascii="Times New Roman" w:eastAsia="Book Antiqua" w:hAnsi="Times New Roman" w:cs="Times New Roman"/>
          <w:i/>
          <w:spacing w:val="-1"/>
          <w:sz w:val="22"/>
          <w:szCs w:val="22"/>
          <w:lang w:val="en-US"/>
        </w:rPr>
        <w:t>Journal</w:t>
      </w:r>
      <w:r w:rsidRPr="007B7D68">
        <w:rPr>
          <w:rFonts w:ascii="Times New Roman" w:eastAsia="Book Antiqua" w:hAnsi="Times New Roman" w:cs="Times New Roman"/>
          <w:i/>
          <w:spacing w:val="34"/>
          <w:sz w:val="22"/>
          <w:szCs w:val="22"/>
          <w:lang w:val="en-US"/>
        </w:rPr>
        <w:t xml:space="preserve"> </w:t>
      </w:r>
      <w:r w:rsidRPr="007B7D68">
        <w:rPr>
          <w:rFonts w:ascii="Times New Roman" w:eastAsia="Book Antiqua" w:hAnsi="Times New Roman" w:cs="Times New Roman"/>
          <w:i/>
          <w:spacing w:val="-1"/>
          <w:sz w:val="22"/>
          <w:szCs w:val="22"/>
          <w:lang w:val="en-US"/>
        </w:rPr>
        <w:t>of</w:t>
      </w:r>
      <w:r w:rsidRPr="007B7D68">
        <w:rPr>
          <w:rFonts w:ascii="Times New Roman" w:eastAsia="Book Antiqua" w:hAnsi="Times New Roman" w:cs="Times New Roman"/>
          <w:i/>
          <w:spacing w:val="100"/>
          <w:w w:val="99"/>
          <w:sz w:val="22"/>
          <w:szCs w:val="22"/>
          <w:lang w:val="en-US"/>
        </w:rPr>
        <w:t xml:space="preserve"> </w:t>
      </w:r>
      <w:r w:rsidRPr="007B7D68">
        <w:rPr>
          <w:rFonts w:ascii="Times New Roman" w:eastAsia="Book Antiqua" w:hAnsi="Times New Roman" w:cs="Times New Roman"/>
          <w:i/>
          <w:spacing w:val="-1"/>
          <w:sz w:val="22"/>
          <w:szCs w:val="22"/>
          <w:lang w:val="en-US"/>
        </w:rPr>
        <w:t>Mathematics</w:t>
      </w:r>
      <w:r w:rsidRPr="007B7D68">
        <w:rPr>
          <w:rFonts w:ascii="Times New Roman" w:eastAsia="Book Antiqua" w:hAnsi="Times New Roman" w:cs="Times New Roman"/>
          <w:i/>
          <w:spacing w:val="-4"/>
          <w:sz w:val="22"/>
          <w:szCs w:val="22"/>
          <w:lang w:val="en-US"/>
        </w:rPr>
        <w:t xml:space="preserve"> </w:t>
      </w:r>
      <w:r w:rsidRPr="007B7D68">
        <w:rPr>
          <w:rFonts w:ascii="Times New Roman" w:eastAsia="Book Antiqua" w:hAnsi="Times New Roman" w:cs="Times New Roman"/>
          <w:i/>
          <w:spacing w:val="-1"/>
          <w:sz w:val="22"/>
          <w:szCs w:val="22"/>
          <w:lang w:val="en-US"/>
        </w:rPr>
        <w:t>Teacher</w:t>
      </w:r>
      <w:r w:rsidRPr="007B7D68">
        <w:rPr>
          <w:rFonts w:ascii="Times New Roman" w:eastAsia="Book Antiqua" w:hAnsi="Times New Roman" w:cs="Times New Roman"/>
          <w:i/>
          <w:spacing w:val="-4"/>
          <w:sz w:val="22"/>
          <w:szCs w:val="22"/>
          <w:lang w:val="en-US"/>
        </w:rPr>
        <w:t xml:space="preserve"> </w:t>
      </w:r>
      <w:r w:rsidRPr="007B7D68">
        <w:rPr>
          <w:rFonts w:ascii="Times New Roman" w:eastAsia="Book Antiqua" w:hAnsi="Times New Roman" w:cs="Times New Roman"/>
          <w:i/>
          <w:spacing w:val="-1"/>
          <w:sz w:val="22"/>
          <w:szCs w:val="22"/>
          <w:lang w:val="en-US"/>
        </w:rPr>
        <w:t>Education</w:t>
      </w:r>
      <w:r w:rsidRPr="007B7D68">
        <w:rPr>
          <w:rFonts w:ascii="Times New Roman" w:eastAsia="Book Antiqua" w:hAnsi="Times New Roman" w:cs="Times New Roman"/>
          <w:spacing w:val="-1"/>
          <w:sz w:val="22"/>
          <w:szCs w:val="22"/>
          <w:lang w:val="en-US"/>
        </w:rPr>
        <w:t>,</w:t>
      </w:r>
      <w:r w:rsidRPr="007B7D68">
        <w:rPr>
          <w:rFonts w:ascii="Times New Roman" w:eastAsia="Book Antiqua" w:hAnsi="Times New Roman" w:cs="Times New Roman"/>
          <w:spacing w:val="-6"/>
          <w:sz w:val="22"/>
          <w:szCs w:val="22"/>
          <w:lang w:val="en-US"/>
        </w:rPr>
        <w:t xml:space="preserve"> </w:t>
      </w:r>
      <w:r w:rsidRPr="007B7D68">
        <w:rPr>
          <w:rFonts w:ascii="Times New Roman" w:eastAsia="Book Antiqua" w:hAnsi="Times New Roman" w:cs="Times New Roman"/>
          <w:i/>
          <w:sz w:val="22"/>
          <w:szCs w:val="22"/>
          <w:lang w:val="en-US"/>
        </w:rPr>
        <w:t>14</w:t>
      </w:r>
      <w:r w:rsidRPr="007B7D68">
        <w:rPr>
          <w:rFonts w:ascii="Times New Roman" w:eastAsia="Book Antiqua" w:hAnsi="Times New Roman" w:cs="Times New Roman"/>
          <w:sz w:val="22"/>
          <w:szCs w:val="22"/>
          <w:lang w:val="en-US"/>
        </w:rPr>
        <w:t>(5),</w:t>
      </w:r>
      <w:r w:rsidRPr="007B7D68">
        <w:rPr>
          <w:rFonts w:ascii="Times New Roman" w:eastAsia="Book Antiqua" w:hAnsi="Times New Roman" w:cs="Times New Roman"/>
          <w:spacing w:val="-5"/>
          <w:sz w:val="22"/>
          <w:szCs w:val="22"/>
          <w:lang w:val="en-US"/>
        </w:rPr>
        <w:t xml:space="preserve"> </w:t>
      </w:r>
      <w:r w:rsidRPr="007B7D68">
        <w:rPr>
          <w:rFonts w:ascii="Times New Roman" w:eastAsia="Book Antiqua" w:hAnsi="Times New Roman" w:cs="Times New Roman"/>
          <w:spacing w:val="-1"/>
          <w:sz w:val="22"/>
          <w:szCs w:val="22"/>
          <w:lang w:val="en-US"/>
        </w:rPr>
        <w:t>331</w:t>
      </w:r>
      <w:r w:rsidRPr="007B7D68">
        <w:rPr>
          <w:rFonts w:ascii="Times New Roman" w:hAnsi="Times New Roman" w:cs="Times New Roman"/>
          <w:color w:val="000000"/>
          <w:sz w:val="22"/>
          <w:szCs w:val="22"/>
          <w:lang w:val="en-US"/>
        </w:rPr>
        <w:t>–</w:t>
      </w:r>
      <w:r w:rsidRPr="007B7D68">
        <w:rPr>
          <w:rFonts w:ascii="Times New Roman" w:eastAsia="Book Antiqua" w:hAnsi="Times New Roman" w:cs="Times New Roman"/>
          <w:spacing w:val="-1"/>
          <w:sz w:val="22"/>
          <w:szCs w:val="22"/>
          <w:lang w:val="en-US"/>
        </w:rPr>
        <w:t xml:space="preserve">353. </w:t>
      </w:r>
      <w:r w:rsidR="00312951">
        <w:fldChar w:fldCharType="begin"/>
      </w:r>
      <w:r w:rsidR="00312951" w:rsidRPr="009B7C48">
        <w:rPr>
          <w:lang w:val="en-US"/>
        </w:rPr>
        <w:instrText>HYPERLINK "https://doi.org/10.1007/s10857-011-9170-3"</w:instrText>
      </w:r>
      <w:r w:rsidR="00312951">
        <w:fldChar w:fldCharType="separate"/>
      </w:r>
      <w:r w:rsidRPr="007B7D68">
        <w:rPr>
          <w:rFonts w:ascii="Times New Roman" w:eastAsia="Book Antiqua" w:hAnsi="Times New Roman" w:cs="Times New Roman"/>
          <w:color w:val="0563C1" w:themeColor="hyperlink"/>
          <w:spacing w:val="-1"/>
          <w:sz w:val="22"/>
          <w:szCs w:val="22"/>
          <w:u w:val="single"/>
          <w:lang w:val="en-US"/>
        </w:rPr>
        <w:t>https://doi.org/10.1007/s10857-011-9170-3</w:t>
      </w:r>
      <w:r w:rsidR="00312951">
        <w:rPr>
          <w:rFonts w:ascii="Times New Roman" w:eastAsia="Book Antiqua" w:hAnsi="Times New Roman" w:cs="Times New Roman"/>
          <w:color w:val="0563C1" w:themeColor="hyperlink"/>
          <w:spacing w:val="-1"/>
          <w:sz w:val="22"/>
          <w:szCs w:val="22"/>
          <w:u w:val="single"/>
          <w:lang w:val="en-US"/>
        </w:rPr>
        <w:fldChar w:fldCharType="end"/>
      </w:r>
      <w:r w:rsidRPr="007B7D68">
        <w:rPr>
          <w:rFonts w:ascii="Times New Roman" w:eastAsia="Book Antiqua" w:hAnsi="Times New Roman" w:cs="Times New Roman"/>
          <w:spacing w:val="-1"/>
          <w:sz w:val="22"/>
          <w:szCs w:val="22"/>
          <w:lang w:val="en-US"/>
        </w:rPr>
        <w:t xml:space="preserve"> </w:t>
      </w:r>
    </w:p>
    <w:p w14:paraId="2A59813D"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t xml:space="preserve">Cobb, P., </w:t>
      </w:r>
      <w:proofErr w:type="spellStart"/>
      <w:r w:rsidRPr="007B7D68">
        <w:rPr>
          <w:rFonts w:ascii="Times New Roman" w:hAnsi="Times New Roman" w:cs="Times New Roman"/>
          <w:sz w:val="22"/>
          <w:szCs w:val="22"/>
          <w:lang w:val="en-US"/>
        </w:rPr>
        <w:t>Confrey</w:t>
      </w:r>
      <w:proofErr w:type="spellEnd"/>
      <w:r w:rsidRPr="007B7D68">
        <w:rPr>
          <w:rFonts w:ascii="Times New Roman" w:hAnsi="Times New Roman" w:cs="Times New Roman"/>
          <w:sz w:val="22"/>
          <w:szCs w:val="22"/>
          <w:lang w:val="en-US"/>
        </w:rPr>
        <w:t xml:space="preserve">, J., </w:t>
      </w:r>
      <w:proofErr w:type="spellStart"/>
      <w:r w:rsidRPr="007B7D68">
        <w:rPr>
          <w:rFonts w:ascii="Times New Roman" w:hAnsi="Times New Roman" w:cs="Times New Roman"/>
          <w:sz w:val="22"/>
          <w:szCs w:val="22"/>
          <w:lang w:val="en-US"/>
        </w:rPr>
        <w:t>diSessa</w:t>
      </w:r>
      <w:proofErr w:type="spellEnd"/>
      <w:r w:rsidRPr="007B7D68">
        <w:rPr>
          <w:rFonts w:ascii="Times New Roman" w:hAnsi="Times New Roman" w:cs="Times New Roman"/>
          <w:sz w:val="22"/>
          <w:szCs w:val="22"/>
          <w:lang w:val="en-US"/>
        </w:rPr>
        <w:t xml:space="preserve">, A., Lehrer, R. y </w:t>
      </w:r>
      <w:proofErr w:type="spellStart"/>
      <w:r w:rsidRPr="007B7D68">
        <w:rPr>
          <w:rFonts w:ascii="Times New Roman" w:hAnsi="Times New Roman" w:cs="Times New Roman"/>
          <w:sz w:val="22"/>
          <w:szCs w:val="22"/>
          <w:lang w:val="en-US"/>
        </w:rPr>
        <w:t>Schauble</w:t>
      </w:r>
      <w:proofErr w:type="spellEnd"/>
      <w:r w:rsidRPr="007B7D68">
        <w:rPr>
          <w:rFonts w:ascii="Times New Roman" w:hAnsi="Times New Roman" w:cs="Times New Roman"/>
          <w:sz w:val="22"/>
          <w:szCs w:val="22"/>
          <w:lang w:val="en-US"/>
        </w:rPr>
        <w:t xml:space="preserve">, L. (2003). Design experiments in educational research. </w:t>
      </w:r>
      <w:r w:rsidRPr="007B7D68">
        <w:rPr>
          <w:rFonts w:ascii="Times New Roman" w:hAnsi="Times New Roman" w:cs="Times New Roman"/>
          <w:i/>
          <w:iCs/>
          <w:sz w:val="22"/>
          <w:szCs w:val="22"/>
          <w:lang w:val="en-US"/>
        </w:rPr>
        <w:t>Educational Researcher, 32,</w:t>
      </w:r>
      <w:r w:rsidRPr="007B7D68">
        <w:rPr>
          <w:rFonts w:ascii="Times New Roman" w:hAnsi="Times New Roman" w:cs="Times New Roman"/>
          <w:sz w:val="22"/>
          <w:szCs w:val="22"/>
          <w:lang w:val="en-US"/>
        </w:rPr>
        <w:t xml:space="preserve"> 1, 9–13.</w:t>
      </w:r>
    </w:p>
    <w:p w14:paraId="46BFD1A2" w14:textId="77777777" w:rsidR="007B7D68" w:rsidRPr="007B7D68" w:rsidRDefault="007B7D68" w:rsidP="0018220E">
      <w:pPr>
        <w:spacing w:after="120"/>
        <w:ind w:left="709" w:hanging="709"/>
        <w:jc w:val="both"/>
        <w:rPr>
          <w:rFonts w:ascii="Times New Roman" w:hAnsi="Times New Roman" w:cs="Times New Roman"/>
          <w:sz w:val="22"/>
          <w:szCs w:val="22"/>
          <w:lang w:val="en-GB"/>
        </w:rPr>
      </w:pPr>
      <w:r w:rsidRPr="007B7D68">
        <w:rPr>
          <w:rFonts w:ascii="Times New Roman" w:hAnsi="Times New Roman" w:cs="Times New Roman"/>
          <w:sz w:val="22"/>
          <w:szCs w:val="22"/>
          <w:lang w:val="en-US"/>
        </w:rPr>
        <w:t xml:space="preserve">Cohen, L., Manion, L. y Morrison, K. (2011). Research methods in education. </w:t>
      </w:r>
      <w:proofErr w:type="spellStart"/>
      <w:r w:rsidRPr="007B7D68">
        <w:rPr>
          <w:rFonts w:ascii="Times New Roman" w:hAnsi="Times New Roman" w:cs="Times New Roman"/>
          <w:sz w:val="22"/>
          <w:szCs w:val="22"/>
          <w:lang w:val="en-GB"/>
        </w:rPr>
        <w:t>Londres</w:t>
      </w:r>
      <w:proofErr w:type="spellEnd"/>
      <w:r w:rsidRPr="007B7D68">
        <w:rPr>
          <w:rFonts w:ascii="Times New Roman" w:hAnsi="Times New Roman" w:cs="Times New Roman"/>
          <w:sz w:val="22"/>
          <w:szCs w:val="22"/>
          <w:lang w:val="en-GB"/>
        </w:rPr>
        <w:t>: Routledge.</w:t>
      </w:r>
    </w:p>
    <w:p w14:paraId="47DA10D6"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rPr>
        <w:t xml:space="preserve">Esqué de los Ojos, D., y Breda, A. (2021). Valoración y rediseño de una unidad sobre proporcionalidad, utilizando la herramienta Idoneidad Didáctica. </w:t>
      </w:r>
      <w:proofErr w:type="spellStart"/>
      <w:r w:rsidRPr="007B7D68">
        <w:rPr>
          <w:rFonts w:ascii="Times New Roman" w:hAnsi="Times New Roman" w:cs="Times New Roman"/>
          <w:i/>
          <w:iCs/>
          <w:sz w:val="22"/>
          <w:szCs w:val="22"/>
        </w:rPr>
        <w:t>Uniciencia</w:t>
      </w:r>
      <w:proofErr w:type="spellEnd"/>
      <w:r w:rsidRPr="007B7D68">
        <w:rPr>
          <w:rFonts w:ascii="Times New Roman" w:hAnsi="Times New Roman" w:cs="Times New Roman"/>
          <w:sz w:val="22"/>
          <w:szCs w:val="22"/>
        </w:rPr>
        <w:t xml:space="preserve">, </w:t>
      </w:r>
      <w:r w:rsidRPr="007B7D68">
        <w:rPr>
          <w:rFonts w:ascii="Times New Roman" w:hAnsi="Times New Roman" w:cs="Times New Roman"/>
          <w:i/>
          <w:iCs/>
          <w:sz w:val="22"/>
          <w:szCs w:val="22"/>
        </w:rPr>
        <w:t>35</w:t>
      </w:r>
      <w:r w:rsidRPr="007B7D68">
        <w:rPr>
          <w:rFonts w:ascii="Times New Roman" w:hAnsi="Times New Roman" w:cs="Times New Roman"/>
          <w:sz w:val="22"/>
          <w:szCs w:val="22"/>
        </w:rPr>
        <w:t xml:space="preserve">(1), 38–54. https://doi.org/10.15359/ru.35-1.3 </w:t>
      </w:r>
    </w:p>
    <w:p w14:paraId="13C4CB8B"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rPr>
        <w:t xml:space="preserve">Fernández, C. y Llinares, S. (2011). De la estructura aditiva a la multiplicativa: Efecto de dos variables en el desarrollo del razonamiento proporcional. </w:t>
      </w:r>
      <w:r w:rsidRPr="007B7D68">
        <w:rPr>
          <w:rFonts w:ascii="Times New Roman" w:hAnsi="Times New Roman" w:cs="Times New Roman"/>
          <w:i/>
          <w:iCs/>
          <w:sz w:val="22"/>
          <w:szCs w:val="22"/>
        </w:rPr>
        <w:t>Infancia y Aprendizaje, 34</w:t>
      </w:r>
      <w:r w:rsidRPr="007B7D68">
        <w:rPr>
          <w:rFonts w:ascii="Times New Roman" w:hAnsi="Times New Roman" w:cs="Times New Roman"/>
          <w:sz w:val="22"/>
          <w:szCs w:val="22"/>
        </w:rPr>
        <w:t xml:space="preserve">(1), 67-80. </w:t>
      </w:r>
    </w:p>
    <w:p w14:paraId="7FC15940"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rPr>
        <w:t xml:space="preserve">Ferrero, L., Martín P., Alonso, G. y Bernal, E. I. (2015) </w:t>
      </w:r>
      <w:r w:rsidRPr="007B7D68">
        <w:rPr>
          <w:rFonts w:ascii="Times New Roman" w:hAnsi="Times New Roman" w:cs="Times New Roman"/>
          <w:i/>
          <w:iCs/>
          <w:sz w:val="22"/>
          <w:szCs w:val="22"/>
        </w:rPr>
        <w:t>Matemáticas 6</w:t>
      </w:r>
      <w:r w:rsidRPr="007B7D68">
        <w:rPr>
          <w:rFonts w:ascii="Times New Roman" w:hAnsi="Times New Roman" w:cs="Times New Roman"/>
          <w:sz w:val="22"/>
          <w:szCs w:val="22"/>
        </w:rPr>
        <w:t>. Anaya.</w:t>
      </w:r>
    </w:p>
    <w:p w14:paraId="3789F093"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rPr>
        <w:t xml:space="preserve">Font, V., Breda, A., Seckel, M. J. y Pino-Fan, L. R. (2018). Análisis de las reflexiones y valoraciones de una futura profesora de matemáticas sobre la práctica docente. </w:t>
      </w:r>
      <w:r w:rsidRPr="007B7D68">
        <w:rPr>
          <w:rFonts w:ascii="Times New Roman" w:hAnsi="Times New Roman" w:cs="Times New Roman"/>
          <w:i/>
          <w:iCs/>
          <w:sz w:val="22"/>
          <w:szCs w:val="22"/>
        </w:rPr>
        <w:t>Revista de Ciencia y Tecnología, 34</w:t>
      </w:r>
      <w:r w:rsidRPr="007B7D68">
        <w:rPr>
          <w:rFonts w:ascii="Times New Roman" w:hAnsi="Times New Roman" w:cs="Times New Roman"/>
          <w:sz w:val="22"/>
          <w:szCs w:val="22"/>
        </w:rPr>
        <w:t>(2), p. 62–75.</w:t>
      </w:r>
    </w:p>
    <w:p w14:paraId="41DF08DA" w14:textId="77777777" w:rsidR="007B7D68" w:rsidRPr="007B7D68" w:rsidRDefault="007B7D68" w:rsidP="0018220E">
      <w:pPr>
        <w:spacing w:after="120"/>
        <w:ind w:left="709" w:hanging="709"/>
        <w:jc w:val="both"/>
        <w:rPr>
          <w:rStyle w:val="Hipervnculo"/>
          <w:rFonts w:ascii="Times New Roman" w:hAnsi="Times New Roman" w:cs="Times New Roman"/>
          <w:sz w:val="22"/>
          <w:szCs w:val="22"/>
          <w:lang w:val="en-US"/>
        </w:rPr>
      </w:pPr>
      <w:r w:rsidRPr="007B7D68">
        <w:rPr>
          <w:rStyle w:val="cf01"/>
          <w:rFonts w:ascii="Times New Roman" w:hAnsi="Times New Roman" w:cs="Times New Roman"/>
          <w:sz w:val="22"/>
          <w:szCs w:val="22"/>
        </w:rPr>
        <w:t xml:space="preserve">Giacomone, B., Beltrán-Pellicer, P. y Godino, J. D. (2019). </w:t>
      </w:r>
      <w:r w:rsidRPr="007B7D68">
        <w:rPr>
          <w:rStyle w:val="cf11"/>
          <w:rFonts w:ascii="Times New Roman" w:hAnsi="Times New Roman" w:cs="Times New Roman"/>
          <w:sz w:val="22"/>
          <w:szCs w:val="22"/>
          <w:lang w:val="en-US"/>
        </w:rPr>
        <w:t xml:space="preserve">Cognitive analysis on prospective mathematics teachers’ reasoning using area and tree diagrams. </w:t>
      </w:r>
      <w:r w:rsidRPr="007B7D68">
        <w:rPr>
          <w:rStyle w:val="cf21"/>
          <w:rFonts w:ascii="Times New Roman" w:hAnsi="Times New Roman" w:cs="Times New Roman"/>
          <w:sz w:val="22"/>
          <w:szCs w:val="22"/>
          <w:lang w:val="en-US"/>
        </w:rPr>
        <w:t>International Journal of Innovation in Science and Mathematics Education, 27</w:t>
      </w:r>
      <w:r w:rsidRPr="007B7D68">
        <w:rPr>
          <w:rStyle w:val="cf01"/>
          <w:rFonts w:ascii="Times New Roman" w:hAnsi="Times New Roman" w:cs="Times New Roman"/>
          <w:sz w:val="22"/>
          <w:szCs w:val="22"/>
          <w:lang w:val="en-US"/>
        </w:rPr>
        <w:t>(2), 18–32.</w:t>
      </w:r>
    </w:p>
    <w:p w14:paraId="246357AF" w14:textId="77777777" w:rsidR="007B7D68" w:rsidRPr="007B7D68" w:rsidRDefault="007B7D68" w:rsidP="0018220E">
      <w:pPr>
        <w:spacing w:after="120"/>
        <w:ind w:left="709" w:hanging="709"/>
        <w:jc w:val="both"/>
        <w:rPr>
          <w:rFonts w:ascii="Times New Roman" w:hAnsi="Times New Roman" w:cs="Times New Roman"/>
          <w:sz w:val="22"/>
          <w:szCs w:val="22"/>
          <w:lang w:val="pt-BR"/>
        </w:rPr>
      </w:pPr>
      <w:r w:rsidRPr="007B7D68">
        <w:rPr>
          <w:rFonts w:ascii="Times New Roman" w:hAnsi="Times New Roman" w:cs="Times New Roman"/>
          <w:sz w:val="22"/>
          <w:szCs w:val="22"/>
          <w:lang w:val="en-US"/>
        </w:rPr>
        <w:t xml:space="preserve">Giacomone, B., Godino, J. D. y Beltrán-Pellicer, P. (2018). </w:t>
      </w:r>
      <w:r w:rsidRPr="007B7D68">
        <w:rPr>
          <w:rFonts w:ascii="Times New Roman" w:hAnsi="Times New Roman" w:cs="Times New Roman"/>
          <w:sz w:val="22"/>
          <w:szCs w:val="22"/>
        </w:rPr>
        <w:t xml:space="preserve">Desarrollo de la competencia de análisis de la idoneidad didáctica en futuros profesores de matemáticas. </w:t>
      </w:r>
      <w:r w:rsidRPr="007B7D68">
        <w:rPr>
          <w:rFonts w:ascii="Times New Roman" w:hAnsi="Times New Roman" w:cs="Times New Roman"/>
          <w:i/>
          <w:iCs/>
          <w:sz w:val="22"/>
          <w:szCs w:val="22"/>
          <w:lang w:val="pt-BR"/>
        </w:rPr>
        <w:t>Educação e Pesquisa, 44</w:t>
      </w:r>
      <w:r w:rsidRPr="007B7D68">
        <w:rPr>
          <w:rFonts w:ascii="Times New Roman" w:hAnsi="Times New Roman" w:cs="Times New Roman"/>
          <w:sz w:val="22"/>
          <w:szCs w:val="22"/>
          <w:lang w:val="pt-BR"/>
        </w:rPr>
        <w:t>, 1–21. http://dx.doi.org/10.1590/s1678-4634201844172011</w:t>
      </w:r>
    </w:p>
    <w:p w14:paraId="122788CD"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lang w:val="pt-BR"/>
        </w:rPr>
        <w:lastRenderedPageBreak/>
        <w:t xml:space="preserve">Godino, J. D. (2013). </w:t>
      </w:r>
      <w:r w:rsidRPr="007B7D68">
        <w:rPr>
          <w:rFonts w:ascii="Times New Roman" w:hAnsi="Times New Roman" w:cs="Times New Roman"/>
          <w:sz w:val="22"/>
          <w:szCs w:val="22"/>
        </w:rPr>
        <w:t xml:space="preserve">Indicadores de la idoneidad didáctica de procesos de enseñanza y aprendizaje de las matemáticas. </w:t>
      </w:r>
      <w:r w:rsidRPr="007B7D68">
        <w:rPr>
          <w:rFonts w:ascii="Times New Roman" w:hAnsi="Times New Roman" w:cs="Times New Roman"/>
          <w:i/>
          <w:iCs/>
          <w:sz w:val="22"/>
          <w:szCs w:val="22"/>
        </w:rPr>
        <w:t>Cuadernos de Investigación y Formación en Educación Matemática, 11</w:t>
      </w:r>
      <w:r w:rsidRPr="007B7D68">
        <w:rPr>
          <w:rFonts w:ascii="Times New Roman" w:hAnsi="Times New Roman" w:cs="Times New Roman"/>
          <w:sz w:val="22"/>
          <w:szCs w:val="22"/>
        </w:rPr>
        <w:t xml:space="preserve">, 111-132. </w:t>
      </w:r>
    </w:p>
    <w:p w14:paraId="11B7EB1B"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rPr>
        <w:t xml:space="preserve">Godino, J. D. Batanero, C. y Font, V. (2007). </w:t>
      </w:r>
      <w:r w:rsidRPr="007B7D68">
        <w:rPr>
          <w:rFonts w:ascii="Times New Roman" w:hAnsi="Times New Roman" w:cs="Times New Roman"/>
          <w:sz w:val="22"/>
          <w:szCs w:val="22"/>
          <w:lang w:val="en-US"/>
        </w:rPr>
        <w:t xml:space="preserve">The onto-semiotic approach to research in mathematics education. </w:t>
      </w:r>
      <w:r w:rsidRPr="007B7D68">
        <w:rPr>
          <w:rFonts w:ascii="Times New Roman" w:hAnsi="Times New Roman" w:cs="Times New Roman"/>
          <w:i/>
          <w:iCs/>
          <w:sz w:val="22"/>
          <w:szCs w:val="22"/>
        </w:rPr>
        <w:t>ZDM, 39</w:t>
      </w:r>
      <w:r w:rsidRPr="007B7D68">
        <w:rPr>
          <w:rFonts w:ascii="Times New Roman" w:hAnsi="Times New Roman" w:cs="Times New Roman"/>
          <w:sz w:val="22"/>
          <w:szCs w:val="22"/>
        </w:rPr>
        <w:t>(1-2), 127-135.</w:t>
      </w:r>
    </w:p>
    <w:p w14:paraId="57C31AFD"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rPr>
        <w:t xml:space="preserve">Godino, J. D., Giacomone, B., Batanero, C. y Font, V. (2017). Enfoque ontosemiótico de los conocimientos y competencias del profesor de matemáticas. </w:t>
      </w:r>
      <w:r w:rsidRPr="007B7D68">
        <w:rPr>
          <w:rFonts w:ascii="Times New Roman" w:hAnsi="Times New Roman" w:cs="Times New Roman"/>
          <w:i/>
          <w:iCs/>
          <w:sz w:val="22"/>
          <w:szCs w:val="22"/>
        </w:rPr>
        <w:t>Bolema, 31</w:t>
      </w:r>
      <w:r w:rsidRPr="007B7D68">
        <w:rPr>
          <w:rFonts w:ascii="Times New Roman" w:hAnsi="Times New Roman" w:cs="Times New Roman"/>
          <w:sz w:val="22"/>
          <w:szCs w:val="22"/>
        </w:rPr>
        <w:t xml:space="preserve">(57), 90-113. </w:t>
      </w:r>
    </w:p>
    <w:p w14:paraId="72EF2DE1" w14:textId="77777777" w:rsidR="007B7D68" w:rsidRPr="007B7D68" w:rsidRDefault="007B7D68" w:rsidP="0018220E">
      <w:pPr>
        <w:spacing w:after="120"/>
        <w:ind w:left="709" w:hanging="709"/>
        <w:jc w:val="both"/>
        <w:rPr>
          <w:rStyle w:val="Hipervnculo"/>
          <w:rFonts w:ascii="Times New Roman" w:hAnsi="Times New Roman" w:cs="Times New Roman"/>
          <w:sz w:val="22"/>
          <w:szCs w:val="22"/>
        </w:rPr>
      </w:pPr>
      <w:r w:rsidRPr="007B7D68">
        <w:rPr>
          <w:rFonts w:ascii="Times New Roman" w:hAnsi="Times New Roman" w:cs="Times New Roman"/>
          <w:sz w:val="22"/>
          <w:szCs w:val="22"/>
        </w:rPr>
        <w:t xml:space="preserve">Godino, J. D., Giacomone, B., Font, V. y Pino-Fan, L. (2018). Conocimientos profesionales en el diseño y gestión de una clase sobre semejanza de triángulos. Análisis con herramientas del modelo CCDM. </w:t>
      </w:r>
      <w:r w:rsidRPr="007B7D68">
        <w:rPr>
          <w:rFonts w:ascii="Times New Roman" w:hAnsi="Times New Roman" w:cs="Times New Roman"/>
          <w:i/>
          <w:iCs/>
          <w:sz w:val="22"/>
          <w:szCs w:val="22"/>
        </w:rPr>
        <w:t>AIEM. Avances de Investigación en Educación Matemática, 13</w:t>
      </w:r>
      <w:r w:rsidRPr="007B7D68">
        <w:rPr>
          <w:rFonts w:ascii="Times New Roman" w:hAnsi="Times New Roman" w:cs="Times New Roman"/>
          <w:sz w:val="22"/>
          <w:szCs w:val="22"/>
        </w:rPr>
        <w:t>, 63-83.</w:t>
      </w:r>
    </w:p>
    <w:p w14:paraId="5CC00600"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rPr>
        <w:t xml:space="preserve">González, Y., Garín, M., Nieto, M., Ramírez, R., </w:t>
      </w:r>
      <w:proofErr w:type="spellStart"/>
      <w:r w:rsidRPr="007B7D68">
        <w:rPr>
          <w:rFonts w:ascii="Times New Roman" w:hAnsi="Times New Roman" w:cs="Times New Roman"/>
          <w:sz w:val="22"/>
          <w:szCs w:val="22"/>
        </w:rPr>
        <w:t>Bernabeu</w:t>
      </w:r>
      <w:proofErr w:type="spellEnd"/>
      <w:r w:rsidRPr="007B7D68">
        <w:rPr>
          <w:rFonts w:ascii="Times New Roman" w:hAnsi="Times New Roman" w:cs="Times New Roman"/>
          <w:sz w:val="22"/>
          <w:szCs w:val="22"/>
        </w:rPr>
        <w:t xml:space="preserve">, J., Pérez, M., Pérez, B., Morales, F., Vidal, J. M., Hidalgo, V. (2015). </w:t>
      </w:r>
      <w:proofErr w:type="spellStart"/>
      <w:r w:rsidRPr="007B7D68">
        <w:rPr>
          <w:rFonts w:ascii="Times New Roman" w:hAnsi="Times New Roman" w:cs="Times New Roman"/>
          <w:i/>
          <w:iCs/>
          <w:sz w:val="22"/>
          <w:szCs w:val="22"/>
          <w:lang w:val="en-US"/>
        </w:rPr>
        <w:t>Matemáticas</w:t>
      </w:r>
      <w:proofErr w:type="spellEnd"/>
      <w:r w:rsidRPr="007B7D68">
        <w:rPr>
          <w:rFonts w:ascii="Times New Roman" w:hAnsi="Times New Roman" w:cs="Times New Roman"/>
          <w:i/>
          <w:iCs/>
          <w:sz w:val="22"/>
          <w:szCs w:val="22"/>
          <w:lang w:val="en-US"/>
        </w:rPr>
        <w:t>. 6º Primaria</w:t>
      </w:r>
      <w:r w:rsidRPr="007B7D68">
        <w:rPr>
          <w:rFonts w:ascii="Times New Roman" w:hAnsi="Times New Roman" w:cs="Times New Roman"/>
          <w:sz w:val="22"/>
          <w:szCs w:val="22"/>
          <w:lang w:val="en-US"/>
        </w:rPr>
        <w:t xml:space="preserve">. Trimestral. </w:t>
      </w:r>
      <w:proofErr w:type="spellStart"/>
      <w:r w:rsidRPr="007B7D68">
        <w:rPr>
          <w:rFonts w:ascii="Times New Roman" w:hAnsi="Times New Roman" w:cs="Times New Roman"/>
          <w:sz w:val="22"/>
          <w:szCs w:val="22"/>
          <w:lang w:val="en-US"/>
        </w:rPr>
        <w:t>Savia</w:t>
      </w:r>
      <w:proofErr w:type="spellEnd"/>
      <w:r w:rsidRPr="007B7D68">
        <w:rPr>
          <w:rFonts w:ascii="Times New Roman" w:hAnsi="Times New Roman" w:cs="Times New Roman"/>
          <w:sz w:val="22"/>
          <w:szCs w:val="22"/>
          <w:lang w:val="en-US"/>
        </w:rPr>
        <w:t xml:space="preserve">, </w:t>
      </w:r>
      <w:proofErr w:type="spellStart"/>
      <w:r w:rsidRPr="007B7D68">
        <w:rPr>
          <w:rFonts w:ascii="Times New Roman" w:hAnsi="Times New Roman" w:cs="Times New Roman"/>
          <w:sz w:val="22"/>
          <w:szCs w:val="22"/>
          <w:lang w:val="en-US"/>
        </w:rPr>
        <w:t>Ediciones</w:t>
      </w:r>
      <w:proofErr w:type="spellEnd"/>
      <w:r w:rsidRPr="007B7D68">
        <w:rPr>
          <w:rFonts w:ascii="Times New Roman" w:hAnsi="Times New Roman" w:cs="Times New Roman"/>
          <w:sz w:val="22"/>
          <w:szCs w:val="22"/>
          <w:lang w:val="en-US"/>
        </w:rPr>
        <w:t xml:space="preserve"> SM.</w:t>
      </w:r>
    </w:p>
    <w:p w14:paraId="4DB3122E"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eastAsia="Arial" w:hAnsi="Times New Roman" w:cs="Times New Roman"/>
          <w:sz w:val="22"/>
          <w:szCs w:val="22"/>
          <w:lang w:val="en-US"/>
        </w:rPr>
        <w:t xml:space="preserve">Grossman, P. y Thompson, C. (2008). Learning from curriculum materials: Scaffolds for new teachers. </w:t>
      </w:r>
      <w:r w:rsidRPr="007B7D68">
        <w:rPr>
          <w:rFonts w:ascii="Times New Roman" w:eastAsia="Arial" w:hAnsi="Times New Roman" w:cs="Times New Roman"/>
          <w:i/>
          <w:iCs/>
          <w:sz w:val="22"/>
          <w:szCs w:val="22"/>
          <w:lang w:val="en-US"/>
        </w:rPr>
        <w:t>Teaching and Teacher Education, 24</w:t>
      </w:r>
      <w:r w:rsidRPr="007B7D68">
        <w:rPr>
          <w:rFonts w:ascii="Times New Roman" w:eastAsia="Arial" w:hAnsi="Times New Roman" w:cs="Times New Roman"/>
          <w:sz w:val="22"/>
          <w:szCs w:val="22"/>
          <w:lang w:val="en-US"/>
        </w:rPr>
        <w:t>(8), 2014</w:t>
      </w:r>
      <w:r w:rsidRPr="007B7D68">
        <w:rPr>
          <w:rFonts w:ascii="Times New Roman" w:hAnsi="Times New Roman" w:cs="Times New Roman"/>
          <w:color w:val="000000"/>
          <w:sz w:val="22"/>
          <w:szCs w:val="22"/>
          <w:lang w:val="en-US"/>
        </w:rPr>
        <w:t>–</w:t>
      </w:r>
      <w:r w:rsidRPr="007B7D68">
        <w:rPr>
          <w:rFonts w:ascii="Times New Roman" w:eastAsia="Arial" w:hAnsi="Times New Roman" w:cs="Times New Roman"/>
          <w:sz w:val="22"/>
          <w:szCs w:val="22"/>
          <w:lang w:val="en-US"/>
        </w:rPr>
        <w:t xml:space="preserve">2026. </w:t>
      </w:r>
      <w:r w:rsidR="00312951">
        <w:fldChar w:fldCharType="begin"/>
      </w:r>
      <w:r w:rsidR="00312951" w:rsidRPr="009B7C48">
        <w:rPr>
          <w:lang w:val="en-US"/>
        </w:rPr>
        <w:instrText>HYPERLINK "https://doi.org/10.1016/j.tate.2008.05.002"</w:instrText>
      </w:r>
      <w:r w:rsidR="00312951">
        <w:fldChar w:fldCharType="separate"/>
      </w:r>
      <w:r w:rsidRPr="007B7D68">
        <w:rPr>
          <w:rFonts w:ascii="Times New Roman" w:eastAsia="Arial" w:hAnsi="Times New Roman" w:cs="Times New Roman"/>
          <w:color w:val="0563C1" w:themeColor="hyperlink"/>
          <w:sz w:val="22"/>
          <w:szCs w:val="22"/>
          <w:u w:val="single"/>
          <w:lang w:val="en-US"/>
        </w:rPr>
        <w:t>https://doi.org/10.1016/j.tate.2008.05.002</w:t>
      </w:r>
      <w:r w:rsidR="00312951">
        <w:rPr>
          <w:rFonts w:ascii="Times New Roman" w:eastAsia="Arial" w:hAnsi="Times New Roman" w:cs="Times New Roman"/>
          <w:color w:val="0563C1" w:themeColor="hyperlink"/>
          <w:sz w:val="22"/>
          <w:szCs w:val="22"/>
          <w:u w:val="single"/>
          <w:lang w:val="en-US"/>
        </w:rPr>
        <w:fldChar w:fldCharType="end"/>
      </w:r>
      <w:r w:rsidRPr="007B7D68">
        <w:rPr>
          <w:rFonts w:ascii="Times New Roman" w:eastAsia="Arial" w:hAnsi="Times New Roman" w:cs="Times New Roman"/>
          <w:sz w:val="22"/>
          <w:szCs w:val="22"/>
          <w:lang w:val="en-US"/>
        </w:rPr>
        <w:t xml:space="preserve"> </w:t>
      </w:r>
    </w:p>
    <w:p w14:paraId="69CD42EE" w14:textId="77777777" w:rsidR="007B7D68" w:rsidRPr="007B7D68" w:rsidRDefault="007B7D68" w:rsidP="0018220E">
      <w:pPr>
        <w:spacing w:after="120"/>
        <w:ind w:left="709" w:hanging="709"/>
        <w:jc w:val="both"/>
        <w:rPr>
          <w:rFonts w:ascii="Times New Roman" w:hAnsi="Times New Roman" w:cs="Times New Roman"/>
          <w:sz w:val="22"/>
          <w:szCs w:val="22"/>
        </w:rPr>
      </w:pPr>
      <w:r w:rsidRPr="007B7D68">
        <w:rPr>
          <w:rFonts w:ascii="Times New Roman" w:hAnsi="Times New Roman" w:cs="Times New Roman"/>
          <w:sz w:val="22"/>
          <w:szCs w:val="22"/>
          <w:lang w:val="en-US"/>
        </w:rPr>
        <w:t xml:space="preserve">Hummes, V. B., Font, V. y Breda, A. (2019). </w:t>
      </w:r>
      <w:r w:rsidRPr="007B7D68">
        <w:rPr>
          <w:rFonts w:ascii="Times New Roman" w:hAnsi="Times New Roman" w:cs="Times New Roman"/>
          <w:sz w:val="22"/>
          <w:szCs w:val="22"/>
        </w:rPr>
        <w:t xml:space="preserve">Uso combinado del estudio de clases y la idoneidad didáctica para el desarrollo de la reflexión sobre la propia práctica en la formación de profesores de matemáticas. </w:t>
      </w:r>
      <w:r w:rsidRPr="007B7D68">
        <w:rPr>
          <w:rFonts w:ascii="Times New Roman" w:hAnsi="Times New Roman" w:cs="Times New Roman"/>
          <w:i/>
          <w:iCs/>
          <w:sz w:val="22"/>
          <w:szCs w:val="22"/>
        </w:rPr>
        <w:t xml:space="preserve">Acta </w:t>
      </w:r>
      <w:proofErr w:type="spellStart"/>
      <w:r w:rsidRPr="007B7D68">
        <w:rPr>
          <w:rFonts w:ascii="Times New Roman" w:hAnsi="Times New Roman" w:cs="Times New Roman"/>
          <w:i/>
          <w:iCs/>
          <w:sz w:val="22"/>
          <w:szCs w:val="22"/>
        </w:rPr>
        <w:t>Scientiae</w:t>
      </w:r>
      <w:proofErr w:type="spellEnd"/>
      <w:r w:rsidRPr="007B7D68">
        <w:rPr>
          <w:rFonts w:ascii="Times New Roman" w:hAnsi="Times New Roman" w:cs="Times New Roman"/>
          <w:i/>
          <w:iCs/>
          <w:sz w:val="22"/>
          <w:szCs w:val="22"/>
        </w:rPr>
        <w:t>, 21</w:t>
      </w:r>
      <w:r w:rsidRPr="007B7D68">
        <w:rPr>
          <w:rFonts w:ascii="Times New Roman" w:hAnsi="Times New Roman" w:cs="Times New Roman"/>
          <w:sz w:val="22"/>
          <w:szCs w:val="22"/>
        </w:rPr>
        <w:t>(1), 64-82.</w:t>
      </w:r>
    </w:p>
    <w:p w14:paraId="028D8499" w14:textId="77777777" w:rsidR="007B7D68" w:rsidRPr="007B7D68" w:rsidRDefault="007B7D68" w:rsidP="0018220E">
      <w:pPr>
        <w:spacing w:after="120"/>
        <w:ind w:left="709" w:hanging="709"/>
        <w:jc w:val="both"/>
        <w:rPr>
          <w:rStyle w:val="Hipervnculo"/>
          <w:rFonts w:ascii="Times New Roman" w:hAnsi="Times New Roman" w:cs="Times New Roman"/>
          <w:sz w:val="22"/>
          <w:szCs w:val="22"/>
          <w:lang w:val="en-US"/>
        </w:rPr>
      </w:pPr>
      <w:proofErr w:type="spellStart"/>
      <w:r w:rsidRPr="007B7D68">
        <w:rPr>
          <w:rFonts w:ascii="Times New Roman" w:hAnsi="Times New Roman" w:cs="Times New Roman"/>
          <w:sz w:val="22"/>
          <w:szCs w:val="22"/>
        </w:rPr>
        <w:t>Ivars</w:t>
      </w:r>
      <w:proofErr w:type="spellEnd"/>
      <w:r w:rsidRPr="007B7D68">
        <w:rPr>
          <w:rFonts w:ascii="Times New Roman" w:hAnsi="Times New Roman" w:cs="Times New Roman"/>
          <w:sz w:val="22"/>
          <w:szCs w:val="22"/>
        </w:rPr>
        <w:t xml:space="preserve">, P., Fernández, C., Llinares, S. y Choy, B. (2018). </w:t>
      </w:r>
      <w:r w:rsidRPr="007B7D68">
        <w:rPr>
          <w:rFonts w:ascii="Times New Roman" w:hAnsi="Times New Roman" w:cs="Times New Roman"/>
          <w:sz w:val="22"/>
          <w:szCs w:val="22"/>
          <w:lang w:val="en-US"/>
        </w:rPr>
        <w:t xml:space="preserve">Enhancing noticing: Using a hypothetical learning trajectory to improve pre-service primary teachers’ professional discourses. </w:t>
      </w:r>
      <w:r w:rsidRPr="007B7D68">
        <w:rPr>
          <w:rFonts w:ascii="Times New Roman" w:hAnsi="Times New Roman" w:cs="Times New Roman"/>
          <w:i/>
          <w:iCs/>
          <w:sz w:val="22"/>
          <w:szCs w:val="22"/>
          <w:lang w:val="en-US"/>
        </w:rPr>
        <w:t>Eurasia Journal of Mathematics, Science and Technology Education, 14</w:t>
      </w:r>
      <w:r w:rsidRPr="007B7D68">
        <w:rPr>
          <w:rFonts w:ascii="Times New Roman" w:hAnsi="Times New Roman" w:cs="Times New Roman"/>
          <w:sz w:val="22"/>
          <w:szCs w:val="22"/>
          <w:lang w:val="en-US"/>
        </w:rPr>
        <w:t>(11), em1599.</w:t>
      </w:r>
    </w:p>
    <w:p w14:paraId="0A2496C9" w14:textId="77777777" w:rsidR="007B7D68" w:rsidRPr="007B7D68" w:rsidRDefault="007B7D68" w:rsidP="0018220E">
      <w:pPr>
        <w:spacing w:after="120"/>
        <w:ind w:left="709" w:hanging="709"/>
        <w:jc w:val="both"/>
        <w:rPr>
          <w:rFonts w:ascii="Times New Roman" w:hAnsi="Times New Roman" w:cs="Times New Roman"/>
          <w:sz w:val="22"/>
          <w:szCs w:val="22"/>
          <w:lang w:val="en-GB"/>
        </w:rPr>
      </w:pPr>
      <w:r w:rsidRPr="007B7D68">
        <w:rPr>
          <w:rFonts w:ascii="Times New Roman" w:hAnsi="Times New Roman" w:cs="Times New Roman"/>
          <w:sz w:val="22"/>
          <w:szCs w:val="22"/>
          <w:lang w:val="en-US"/>
        </w:rPr>
        <w:t xml:space="preserve">Lamon, S. (2007). Rational numbers and proportional reasoning: Toward a theoretical framework. In F. Lester (Ed.), Second handbook of research on mathematics teaching and learning (pp. 629-668). </w:t>
      </w:r>
      <w:r w:rsidRPr="007B7D68">
        <w:rPr>
          <w:rFonts w:ascii="Times New Roman" w:hAnsi="Times New Roman" w:cs="Times New Roman"/>
          <w:sz w:val="22"/>
          <w:szCs w:val="22"/>
          <w:lang w:val="en-GB"/>
        </w:rPr>
        <w:t>Charlotte, NC: Information Age Publishing.</w:t>
      </w:r>
    </w:p>
    <w:p w14:paraId="38B94F26"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t xml:space="preserve">Morales-López, Y., Araya-Román, D. (2020) Helping Preservice Teachers to Reflect. </w:t>
      </w:r>
      <w:r w:rsidRPr="007B7D68">
        <w:rPr>
          <w:rFonts w:ascii="Times New Roman" w:hAnsi="Times New Roman" w:cs="Times New Roman"/>
          <w:i/>
          <w:iCs/>
          <w:sz w:val="22"/>
          <w:szCs w:val="22"/>
          <w:lang w:val="en-US"/>
        </w:rPr>
        <w:t>Acta Scientiae, 22</w:t>
      </w:r>
      <w:r w:rsidRPr="007B7D68">
        <w:rPr>
          <w:rFonts w:ascii="Times New Roman" w:hAnsi="Times New Roman" w:cs="Times New Roman"/>
          <w:sz w:val="22"/>
          <w:szCs w:val="22"/>
          <w:lang w:val="en-US"/>
        </w:rPr>
        <w:t xml:space="preserve"> (1), 88–111. http://doi.org/10.17648/acta.scientiae.5641</w:t>
      </w:r>
    </w:p>
    <w:p w14:paraId="381E4321"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lastRenderedPageBreak/>
        <w:t xml:space="preserve">Nicol, C. C. y Crespo, S. M. (2006) Learning to teach with mathematics textbooks: How preservice teachers interpret and use curriculum materials. </w:t>
      </w:r>
      <w:r w:rsidRPr="007B7D68">
        <w:rPr>
          <w:rFonts w:ascii="Times New Roman" w:hAnsi="Times New Roman" w:cs="Times New Roman"/>
          <w:i/>
          <w:iCs/>
          <w:sz w:val="22"/>
          <w:szCs w:val="22"/>
          <w:lang w:val="en-US"/>
        </w:rPr>
        <w:t>Educational Studies in Mathematics, 62</w:t>
      </w:r>
      <w:r w:rsidRPr="007B7D68">
        <w:rPr>
          <w:rFonts w:ascii="Times New Roman" w:hAnsi="Times New Roman" w:cs="Times New Roman"/>
          <w:sz w:val="22"/>
          <w:szCs w:val="22"/>
          <w:lang w:val="en-US"/>
        </w:rPr>
        <w:t>, 331 – 355.</w:t>
      </w:r>
    </w:p>
    <w:p w14:paraId="7C022DD7"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GB"/>
        </w:rPr>
        <w:t xml:space="preserve">Pino-Fan, L., Castro, W. F., Godino, J. D. y Font, V. (2013). </w:t>
      </w:r>
      <w:r w:rsidRPr="007B7D68">
        <w:rPr>
          <w:rFonts w:ascii="Times New Roman" w:hAnsi="Times New Roman" w:cs="Times New Roman"/>
          <w:sz w:val="22"/>
          <w:szCs w:val="22"/>
        </w:rPr>
        <w:t xml:space="preserve">Idoneidad epistémica del significado de la derivada en el currículo de bachillerato. </w:t>
      </w:r>
      <w:r w:rsidRPr="007B7D68">
        <w:rPr>
          <w:rFonts w:ascii="Times New Roman" w:hAnsi="Times New Roman" w:cs="Times New Roman"/>
          <w:i/>
          <w:iCs/>
          <w:sz w:val="22"/>
          <w:szCs w:val="22"/>
          <w:lang w:val="en-US"/>
        </w:rPr>
        <w:t>PARADIGMA, 34</w:t>
      </w:r>
      <w:r w:rsidRPr="007B7D68">
        <w:rPr>
          <w:rFonts w:ascii="Times New Roman" w:hAnsi="Times New Roman" w:cs="Times New Roman"/>
          <w:sz w:val="22"/>
          <w:szCs w:val="22"/>
          <w:lang w:val="en-US"/>
        </w:rPr>
        <w:t>(2), 123–150.</w:t>
      </w:r>
    </w:p>
    <w:p w14:paraId="7AA57DAC" w14:textId="77777777" w:rsidR="007B7D68" w:rsidRPr="007B7D68" w:rsidRDefault="007B7D68" w:rsidP="0018220E">
      <w:pPr>
        <w:spacing w:after="120"/>
        <w:ind w:left="709" w:hanging="709"/>
        <w:jc w:val="both"/>
        <w:rPr>
          <w:rFonts w:ascii="Times New Roman" w:hAnsi="Times New Roman" w:cs="Times New Roman"/>
          <w:sz w:val="22"/>
          <w:szCs w:val="22"/>
          <w:lang w:val="en-US"/>
        </w:rPr>
      </w:pPr>
      <w:proofErr w:type="spellStart"/>
      <w:r w:rsidRPr="007B7D68">
        <w:rPr>
          <w:rFonts w:ascii="Times New Roman" w:hAnsi="Times New Roman" w:cs="Times New Roman"/>
          <w:sz w:val="22"/>
          <w:szCs w:val="22"/>
          <w:lang w:val="en-US"/>
        </w:rPr>
        <w:t>Remillard</w:t>
      </w:r>
      <w:proofErr w:type="spellEnd"/>
      <w:r w:rsidRPr="007B7D68">
        <w:rPr>
          <w:rFonts w:ascii="Times New Roman" w:hAnsi="Times New Roman" w:cs="Times New Roman"/>
          <w:sz w:val="22"/>
          <w:szCs w:val="22"/>
          <w:lang w:val="en-US"/>
        </w:rPr>
        <w:t>, J. y Kim, OK. (2017). Knowledge of curriculum embedded mathematics: exploring a critical domain of teaching. Educ Stud Math 96, 65–81. https://doi.org/10.1007/s10649-017-9757-4</w:t>
      </w:r>
    </w:p>
    <w:p w14:paraId="39D33754" w14:textId="77777777" w:rsidR="007B7D68" w:rsidRPr="007B7D68" w:rsidRDefault="007B7D68" w:rsidP="0018220E">
      <w:pPr>
        <w:spacing w:after="120"/>
        <w:ind w:left="709" w:hanging="709"/>
        <w:jc w:val="both"/>
        <w:rPr>
          <w:rFonts w:ascii="Times New Roman" w:hAnsi="Times New Roman" w:cs="Times New Roman"/>
          <w:sz w:val="22"/>
          <w:szCs w:val="22"/>
          <w:lang w:val="en-US"/>
        </w:rPr>
      </w:pPr>
      <w:proofErr w:type="spellStart"/>
      <w:r w:rsidRPr="007B7D68">
        <w:rPr>
          <w:rFonts w:ascii="Times New Roman" w:hAnsi="Times New Roman" w:cs="Times New Roman"/>
          <w:sz w:val="22"/>
          <w:szCs w:val="22"/>
          <w:lang w:val="en-US"/>
        </w:rPr>
        <w:t>Rezat</w:t>
      </w:r>
      <w:proofErr w:type="spellEnd"/>
      <w:r w:rsidRPr="007B7D68">
        <w:rPr>
          <w:rFonts w:ascii="Times New Roman" w:hAnsi="Times New Roman" w:cs="Times New Roman"/>
          <w:sz w:val="22"/>
          <w:szCs w:val="22"/>
          <w:lang w:val="en-US"/>
        </w:rPr>
        <w:t xml:space="preserve">, S. (2012). Interactions of teachers’ and students’ use of mathematics textbooks. </w:t>
      </w:r>
      <w:proofErr w:type="spellStart"/>
      <w:r w:rsidRPr="007B7D68">
        <w:rPr>
          <w:rFonts w:ascii="Times New Roman" w:hAnsi="Times New Roman" w:cs="Times New Roman"/>
          <w:sz w:val="22"/>
          <w:szCs w:val="22"/>
          <w:lang w:val="en-US"/>
        </w:rPr>
        <w:t>En</w:t>
      </w:r>
      <w:proofErr w:type="spellEnd"/>
      <w:r w:rsidRPr="007B7D68">
        <w:rPr>
          <w:rFonts w:ascii="Times New Roman" w:hAnsi="Times New Roman" w:cs="Times New Roman"/>
          <w:sz w:val="22"/>
          <w:szCs w:val="22"/>
          <w:lang w:val="en-US"/>
        </w:rPr>
        <w:t xml:space="preserve"> G. </w:t>
      </w:r>
      <w:proofErr w:type="spellStart"/>
      <w:r w:rsidRPr="007B7D68">
        <w:rPr>
          <w:rFonts w:ascii="Times New Roman" w:hAnsi="Times New Roman" w:cs="Times New Roman"/>
          <w:sz w:val="22"/>
          <w:szCs w:val="22"/>
          <w:lang w:val="en-US"/>
        </w:rPr>
        <w:t>Gueudet</w:t>
      </w:r>
      <w:proofErr w:type="spellEnd"/>
      <w:r w:rsidRPr="007B7D68">
        <w:rPr>
          <w:rFonts w:ascii="Times New Roman" w:hAnsi="Times New Roman" w:cs="Times New Roman"/>
          <w:sz w:val="22"/>
          <w:szCs w:val="22"/>
          <w:lang w:val="en-US"/>
        </w:rPr>
        <w:t xml:space="preserve">, B. Pepin, L. </w:t>
      </w:r>
      <w:proofErr w:type="spellStart"/>
      <w:r w:rsidRPr="007B7D68">
        <w:rPr>
          <w:rFonts w:ascii="Times New Roman" w:hAnsi="Times New Roman" w:cs="Times New Roman"/>
          <w:sz w:val="22"/>
          <w:szCs w:val="22"/>
          <w:lang w:val="en-US"/>
        </w:rPr>
        <w:t>Trouche</w:t>
      </w:r>
      <w:proofErr w:type="spellEnd"/>
      <w:r w:rsidRPr="007B7D68">
        <w:rPr>
          <w:rFonts w:ascii="Times New Roman" w:hAnsi="Times New Roman" w:cs="Times New Roman"/>
          <w:sz w:val="22"/>
          <w:szCs w:val="22"/>
          <w:lang w:val="en-US"/>
        </w:rPr>
        <w:t xml:space="preserve"> (Eds.), </w:t>
      </w:r>
      <w:r w:rsidRPr="007B7D68">
        <w:rPr>
          <w:rFonts w:ascii="Times New Roman" w:hAnsi="Times New Roman" w:cs="Times New Roman"/>
          <w:i/>
          <w:iCs/>
          <w:sz w:val="22"/>
          <w:szCs w:val="22"/>
          <w:lang w:val="en-US"/>
        </w:rPr>
        <w:t xml:space="preserve">From Text to ‘Lived’ Resources Mathematics Teacher Education </w:t>
      </w:r>
      <w:r w:rsidRPr="007B7D68">
        <w:rPr>
          <w:rFonts w:ascii="Times New Roman" w:hAnsi="Times New Roman" w:cs="Times New Roman"/>
          <w:sz w:val="22"/>
          <w:szCs w:val="22"/>
          <w:lang w:val="en-US"/>
        </w:rPr>
        <w:t>(Vol. 7, pp. 231</w:t>
      </w:r>
      <w:r w:rsidRPr="007B7D68">
        <w:rPr>
          <w:rFonts w:ascii="Times New Roman" w:hAnsi="Times New Roman" w:cs="Times New Roman"/>
          <w:color w:val="000000"/>
          <w:sz w:val="22"/>
          <w:szCs w:val="22"/>
          <w:lang w:val="en-US"/>
        </w:rPr>
        <w:t>–</w:t>
      </w:r>
      <w:r w:rsidRPr="007B7D68">
        <w:rPr>
          <w:rFonts w:ascii="Times New Roman" w:hAnsi="Times New Roman" w:cs="Times New Roman"/>
          <w:sz w:val="22"/>
          <w:szCs w:val="22"/>
          <w:lang w:val="en-US"/>
        </w:rPr>
        <w:t>245).</w:t>
      </w:r>
      <w:r w:rsidRPr="007B7D68">
        <w:rPr>
          <w:rFonts w:ascii="Times New Roman" w:hAnsi="Times New Roman" w:cs="Times New Roman"/>
          <w:i/>
          <w:iCs/>
          <w:sz w:val="22"/>
          <w:szCs w:val="22"/>
          <w:lang w:val="en-US"/>
        </w:rPr>
        <w:t xml:space="preserve"> </w:t>
      </w:r>
      <w:r w:rsidRPr="007B7D68">
        <w:rPr>
          <w:rFonts w:ascii="Times New Roman" w:hAnsi="Times New Roman" w:cs="Times New Roman"/>
          <w:sz w:val="22"/>
          <w:szCs w:val="22"/>
          <w:lang w:val="en-US"/>
        </w:rPr>
        <w:t xml:space="preserve">Springer.  </w:t>
      </w:r>
      <w:r w:rsidR="00312951">
        <w:fldChar w:fldCharType="begin"/>
      </w:r>
      <w:r w:rsidR="00312951" w:rsidRPr="009B7C48">
        <w:rPr>
          <w:lang w:val="en-US"/>
        </w:rPr>
        <w:instrText>HYPERLINK "https://doi.org/10.1007/978-94-007-1966-8_12"</w:instrText>
      </w:r>
      <w:r w:rsidR="00312951">
        <w:fldChar w:fldCharType="separate"/>
      </w:r>
      <w:r w:rsidRPr="007B7D68">
        <w:rPr>
          <w:rFonts w:ascii="Times New Roman" w:hAnsi="Times New Roman" w:cs="Times New Roman"/>
          <w:color w:val="0563C1" w:themeColor="hyperlink"/>
          <w:sz w:val="22"/>
          <w:szCs w:val="22"/>
          <w:u w:val="single"/>
          <w:lang w:val="en-US"/>
        </w:rPr>
        <w:t>https://doi.org/10.1007/978-94-007-1966-8_12</w:t>
      </w:r>
      <w:r w:rsidR="00312951">
        <w:rPr>
          <w:rFonts w:ascii="Times New Roman" w:hAnsi="Times New Roman" w:cs="Times New Roman"/>
          <w:color w:val="0563C1" w:themeColor="hyperlink"/>
          <w:sz w:val="22"/>
          <w:szCs w:val="22"/>
          <w:u w:val="single"/>
          <w:lang w:val="en-US"/>
        </w:rPr>
        <w:fldChar w:fldCharType="end"/>
      </w:r>
      <w:r w:rsidRPr="007B7D68">
        <w:rPr>
          <w:rFonts w:ascii="Times New Roman" w:hAnsi="Times New Roman" w:cs="Times New Roman"/>
          <w:sz w:val="22"/>
          <w:szCs w:val="22"/>
          <w:lang w:val="en-US"/>
        </w:rPr>
        <w:t xml:space="preserve"> </w:t>
      </w:r>
    </w:p>
    <w:p w14:paraId="76FE777D"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t xml:space="preserve">Riley, K. J. (2010) Teachers’ understanding of proportional reasoning. In P. </w:t>
      </w:r>
      <w:proofErr w:type="spellStart"/>
      <w:r w:rsidRPr="007B7D68">
        <w:rPr>
          <w:rFonts w:ascii="Times New Roman" w:hAnsi="Times New Roman" w:cs="Times New Roman"/>
          <w:sz w:val="22"/>
          <w:szCs w:val="22"/>
          <w:lang w:val="en-US"/>
        </w:rPr>
        <w:t>Brosnan</w:t>
      </w:r>
      <w:proofErr w:type="spellEnd"/>
      <w:r w:rsidRPr="007B7D68">
        <w:rPr>
          <w:rFonts w:ascii="Times New Roman" w:hAnsi="Times New Roman" w:cs="Times New Roman"/>
          <w:sz w:val="22"/>
          <w:szCs w:val="22"/>
          <w:lang w:val="en-US"/>
        </w:rPr>
        <w:t xml:space="preserve">, P.; </w:t>
      </w:r>
      <w:proofErr w:type="spellStart"/>
      <w:r w:rsidRPr="007B7D68">
        <w:rPr>
          <w:rFonts w:ascii="Times New Roman" w:hAnsi="Times New Roman" w:cs="Times New Roman"/>
          <w:sz w:val="22"/>
          <w:szCs w:val="22"/>
          <w:lang w:val="en-US"/>
        </w:rPr>
        <w:t>Erchick</w:t>
      </w:r>
      <w:proofErr w:type="spellEnd"/>
      <w:r w:rsidRPr="007B7D68">
        <w:rPr>
          <w:rFonts w:ascii="Times New Roman" w:hAnsi="Times New Roman" w:cs="Times New Roman"/>
          <w:sz w:val="22"/>
          <w:szCs w:val="22"/>
          <w:lang w:val="en-US"/>
        </w:rPr>
        <w:t xml:space="preserve">, D. B.; </w:t>
      </w:r>
      <w:proofErr w:type="spellStart"/>
      <w:r w:rsidRPr="007B7D68">
        <w:rPr>
          <w:rFonts w:ascii="Times New Roman" w:hAnsi="Times New Roman" w:cs="Times New Roman"/>
          <w:sz w:val="22"/>
          <w:szCs w:val="22"/>
          <w:lang w:val="en-US"/>
        </w:rPr>
        <w:t>Flevares</w:t>
      </w:r>
      <w:proofErr w:type="spellEnd"/>
      <w:r w:rsidRPr="007B7D68">
        <w:rPr>
          <w:rFonts w:ascii="Times New Roman" w:hAnsi="Times New Roman" w:cs="Times New Roman"/>
          <w:sz w:val="22"/>
          <w:szCs w:val="22"/>
          <w:lang w:val="en-US"/>
        </w:rPr>
        <w:t xml:space="preserve">, L. (Eds.). </w:t>
      </w:r>
      <w:r w:rsidRPr="007B7D68">
        <w:rPr>
          <w:rFonts w:ascii="Times New Roman" w:hAnsi="Times New Roman" w:cs="Times New Roman"/>
          <w:i/>
          <w:iCs/>
          <w:sz w:val="22"/>
          <w:szCs w:val="22"/>
          <w:lang w:val="en-US"/>
        </w:rPr>
        <w:t>Proceedings of the 32nd annual meeting of the North American Chapter of the International Group for the Psychology of Mathematics Education, 6</w:t>
      </w:r>
      <w:r w:rsidRPr="007B7D68">
        <w:rPr>
          <w:rFonts w:ascii="Times New Roman" w:hAnsi="Times New Roman" w:cs="Times New Roman"/>
          <w:sz w:val="22"/>
          <w:szCs w:val="22"/>
          <w:lang w:val="en-US"/>
        </w:rPr>
        <w:t xml:space="preserve">, 1055-1061. </w:t>
      </w:r>
    </w:p>
    <w:p w14:paraId="1B3AFEC8"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rPr>
        <w:t xml:space="preserve">Salcedo, A., Molina-Portillo, E., Ramírez, T. y Contreras, J. (2018). Conflictos semióticos sobre estadística en libros de texto de matemáticas de primaria y bachillerato. </w:t>
      </w:r>
      <w:proofErr w:type="spellStart"/>
      <w:r w:rsidRPr="007B7D68">
        <w:rPr>
          <w:rFonts w:ascii="Times New Roman" w:hAnsi="Times New Roman" w:cs="Times New Roman"/>
          <w:i/>
          <w:iCs/>
          <w:sz w:val="22"/>
          <w:szCs w:val="22"/>
          <w:lang w:val="en-GB"/>
        </w:rPr>
        <w:t>Revista</w:t>
      </w:r>
      <w:proofErr w:type="spellEnd"/>
      <w:r w:rsidRPr="007B7D68">
        <w:rPr>
          <w:rFonts w:ascii="Times New Roman" w:hAnsi="Times New Roman" w:cs="Times New Roman"/>
          <w:i/>
          <w:iCs/>
          <w:sz w:val="22"/>
          <w:szCs w:val="22"/>
          <w:lang w:val="en-GB"/>
        </w:rPr>
        <w:t xml:space="preserve"> de </w:t>
      </w:r>
      <w:proofErr w:type="spellStart"/>
      <w:r w:rsidRPr="007B7D68">
        <w:rPr>
          <w:rFonts w:ascii="Times New Roman" w:hAnsi="Times New Roman" w:cs="Times New Roman"/>
          <w:i/>
          <w:iCs/>
          <w:sz w:val="22"/>
          <w:szCs w:val="22"/>
          <w:lang w:val="en-GB"/>
        </w:rPr>
        <w:t>Pedagogía</w:t>
      </w:r>
      <w:proofErr w:type="spellEnd"/>
      <w:r w:rsidRPr="007B7D68">
        <w:rPr>
          <w:rFonts w:ascii="Times New Roman" w:hAnsi="Times New Roman" w:cs="Times New Roman"/>
          <w:i/>
          <w:iCs/>
          <w:sz w:val="22"/>
          <w:szCs w:val="22"/>
          <w:lang w:val="en-GB"/>
        </w:rPr>
        <w:t>, 39</w:t>
      </w:r>
      <w:r w:rsidRPr="007B7D68">
        <w:rPr>
          <w:rFonts w:ascii="Times New Roman" w:hAnsi="Times New Roman" w:cs="Times New Roman"/>
          <w:sz w:val="22"/>
          <w:szCs w:val="22"/>
          <w:lang w:val="en-GB"/>
        </w:rPr>
        <w:t>(104), 223</w:t>
      </w:r>
      <w:r w:rsidRPr="007B7D68">
        <w:rPr>
          <w:rFonts w:ascii="Times New Roman" w:hAnsi="Times New Roman" w:cs="Times New Roman"/>
          <w:color w:val="000000"/>
          <w:sz w:val="22"/>
          <w:szCs w:val="22"/>
          <w:lang w:val="en-GB"/>
        </w:rPr>
        <w:t>–</w:t>
      </w:r>
      <w:r w:rsidRPr="007B7D68">
        <w:rPr>
          <w:rFonts w:ascii="Times New Roman" w:hAnsi="Times New Roman" w:cs="Times New Roman"/>
          <w:sz w:val="22"/>
          <w:szCs w:val="22"/>
          <w:lang w:val="en-GB"/>
        </w:rPr>
        <w:t>244.</w:t>
      </w:r>
    </w:p>
    <w:p w14:paraId="414D089C"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t xml:space="preserve">Shawer, S. F. (2017). Teacher-driven curriculum development at the classroom level: Implications for curriculum, </w:t>
      </w:r>
      <w:proofErr w:type="gramStart"/>
      <w:r w:rsidRPr="007B7D68">
        <w:rPr>
          <w:rFonts w:ascii="Times New Roman" w:hAnsi="Times New Roman" w:cs="Times New Roman"/>
          <w:sz w:val="22"/>
          <w:szCs w:val="22"/>
          <w:lang w:val="en-US"/>
        </w:rPr>
        <w:t>pedagogy</w:t>
      </w:r>
      <w:proofErr w:type="gramEnd"/>
      <w:r w:rsidRPr="007B7D68">
        <w:rPr>
          <w:rFonts w:ascii="Times New Roman" w:hAnsi="Times New Roman" w:cs="Times New Roman"/>
          <w:sz w:val="22"/>
          <w:szCs w:val="22"/>
          <w:lang w:val="en-US"/>
        </w:rPr>
        <w:t xml:space="preserve"> and teacher training. </w:t>
      </w:r>
      <w:r w:rsidRPr="007B7D68">
        <w:rPr>
          <w:rFonts w:ascii="Times New Roman" w:hAnsi="Times New Roman" w:cs="Times New Roman"/>
          <w:i/>
          <w:iCs/>
          <w:sz w:val="22"/>
          <w:szCs w:val="22"/>
          <w:lang w:val="en-US"/>
        </w:rPr>
        <w:t>Teaching and Teacher Education, 63</w:t>
      </w:r>
      <w:r w:rsidRPr="007B7D68">
        <w:rPr>
          <w:rFonts w:ascii="Times New Roman" w:hAnsi="Times New Roman" w:cs="Times New Roman"/>
          <w:sz w:val="22"/>
          <w:szCs w:val="22"/>
          <w:lang w:val="en-US"/>
        </w:rPr>
        <w:t xml:space="preserve">, 296–313. </w:t>
      </w:r>
      <w:r w:rsidR="00312951">
        <w:fldChar w:fldCharType="begin"/>
      </w:r>
      <w:r w:rsidR="00312951" w:rsidRPr="009B7C48">
        <w:rPr>
          <w:lang w:val="en-US"/>
        </w:rPr>
        <w:instrText>HYPERLINK "https://doi.org/10.1016/j.tate.2016.12.017"</w:instrText>
      </w:r>
      <w:r w:rsidR="00312951">
        <w:fldChar w:fldCharType="separate"/>
      </w:r>
      <w:r w:rsidRPr="007B7D68">
        <w:rPr>
          <w:rStyle w:val="Hipervnculo"/>
          <w:rFonts w:ascii="Times New Roman" w:hAnsi="Times New Roman" w:cs="Times New Roman"/>
          <w:sz w:val="22"/>
          <w:szCs w:val="22"/>
          <w:lang w:val="en-US"/>
        </w:rPr>
        <w:t>https://doi.org/10.1016/j.tate.2016.12.017</w:t>
      </w:r>
      <w:r w:rsidR="00312951">
        <w:rPr>
          <w:rStyle w:val="Hipervnculo"/>
          <w:rFonts w:ascii="Times New Roman" w:hAnsi="Times New Roman" w:cs="Times New Roman"/>
          <w:sz w:val="22"/>
          <w:szCs w:val="22"/>
          <w:lang w:val="en-US"/>
        </w:rPr>
        <w:fldChar w:fldCharType="end"/>
      </w:r>
    </w:p>
    <w:p w14:paraId="43502D3A"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US"/>
        </w:rPr>
        <w:t xml:space="preserve">Shield, M. y Dole, S. (2013). Assessing the potential of mathematics textbooks to promote deep learning. </w:t>
      </w:r>
      <w:r w:rsidRPr="007B7D68">
        <w:rPr>
          <w:rFonts w:ascii="Times New Roman" w:hAnsi="Times New Roman" w:cs="Times New Roman"/>
          <w:i/>
          <w:iCs/>
          <w:sz w:val="22"/>
          <w:szCs w:val="22"/>
          <w:lang w:val="en-US"/>
        </w:rPr>
        <w:t>Educational Studies in Mathematics, 82</w:t>
      </w:r>
      <w:r w:rsidRPr="007B7D68">
        <w:rPr>
          <w:rFonts w:ascii="Times New Roman" w:hAnsi="Times New Roman" w:cs="Times New Roman"/>
          <w:sz w:val="22"/>
          <w:szCs w:val="22"/>
          <w:lang w:val="en-US"/>
        </w:rPr>
        <w:t>(2), 183-199.</w:t>
      </w:r>
    </w:p>
    <w:p w14:paraId="75E3DAC4" w14:textId="77777777" w:rsidR="007B7D68" w:rsidRPr="007B7D68" w:rsidRDefault="007B7D68" w:rsidP="0018220E">
      <w:pPr>
        <w:spacing w:after="120"/>
        <w:ind w:left="709" w:hanging="709"/>
        <w:jc w:val="both"/>
        <w:rPr>
          <w:rFonts w:ascii="Times New Roman" w:eastAsia="Arial" w:hAnsi="Times New Roman" w:cs="Times New Roman"/>
          <w:sz w:val="22"/>
          <w:szCs w:val="22"/>
          <w:lang w:val="en-US"/>
        </w:rPr>
      </w:pPr>
      <w:r w:rsidRPr="007B7D68">
        <w:rPr>
          <w:rFonts w:ascii="Times New Roman" w:eastAsia="Arial" w:hAnsi="Times New Roman" w:cs="Times New Roman"/>
          <w:sz w:val="22"/>
          <w:szCs w:val="22"/>
          <w:lang w:val="en-US"/>
        </w:rPr>
        <w:t xml:space="preserve">Thompson, D. (2014). Reasoning-and-proving in the written curriculum: Lessons and implications for teachers, curriculum designers, and researchers. </w:t>
      </w:r>
      <w:r w:rsidRPr="007B7D68">
        <w:rPr>
          <w:rFonts w:ascii="Times New Roman" w:eastAsia="Arial" w:hAnsi="Times New Roman" w:cs="Times New Roman"/>
          <w:i/>
          <w:iCs/>
          <w:sz w:val="22"/>
          <w:szCs w:val="22"/>
          <w:lang w:val="en-US"/>
        </w:rPr>
        <w:t>International Journal of Educational Research, 64</w:t>
      </w:r>
      <w:r w:rsidRPr="007B7D68">
        <w:rPr>
          <w:rFonts w:ascii="Times New Roman" w:eastAsia="Arial" w:hAnsi="Times New Roman" w:cs="Times New Roman"/>
          <w:sz w:val="22"/>
          <w:szCs w:val="22"/>
          <w:lang w:val="en-US"/>
        </w:rPr>
        <w:t>, 141</w:t>
      </w:r>
      <w:r w:rsidRPr="007B7D68">
        <w:rPr>
          <w:rFonts w:ascii="Times New Roman" w:hAnsi="Times New Roman" w:cs="Times New Roman"/>
          <w:color w:val="000000"/>
          <w:sz w:val="22"/>
          <w:szCs w:val="22"/>
          <w:lang w:val="en-US"/>
        </w:rPr>
        <w:t>–</w:t>
      </w:r>
      <w:r w:rsidRPr="007B7D68">
        <w:rPr>
          <w:rFonts w:ascii="Times New Roman" w:eastAsia="Arial" w:hAnsi="Times New Roman" w:cs="Times New Roman"/>
          <w:sz w:val="22"/>
          <w:szCs w:val="22"/>
          <w:lang w:val="en-US"/>
        </w:rPr>
        <w:t xml:space="preserve">148. </w:t>
      </w:r>
      <w:r w:rsidR="00312951">
        <w:fldChar w:fldCharType="begin"/>
      </w:r>
      <w:r w:rsidR="00312951" w:rsidRPr="009B7C48">
        <w:rPr>
          <w:lang w:val="en-US"/>
        </w:rPr>
        <w:instrText>HYPERLINK "https://doi.org/10.1016/j.ijer.2013.09.013"</w:instrText>
      </w:r>
      <w:r w:rsidR="00312951">
        <w:fldChar w:fldCharType="separate"/>
      </w:r>
      <w:r w:rsidRPr="007B7D68">
        <w:rPr>
          <w:rFonts w:ascii="Times New Roman" w:eastAsia="Arial" w:hAnsi="Times New Roman" w:cs="Times New Roman"/>
          <w:color w:val="0563C1" w:themeColor="hyperlink"/>
          <w:sz w:val="22"/>
          <w:szCs w:val="22"/>
          <w:u w:val="single"/>
          <w:lang w:val="en-US"/>
        </w:rPr>
        <w:t>https://doi.org/10.1016/j.ijer.2013.09.013</w:t>
      </w:r>
      <w:r w:rsidR="00312951">
        <w:rPr>
          <w:rFonts w:ascii="Times New Roman" w:eastAsia="Arial" w:hAnsi="Times New Roman" w:cs="Times New Roman"/>
          <w:color w:val="0563C1" w:themeColor="hyperlink"/>
          <w:sz w:val="22"/>
          <w:szCs w:val="22"/>
          <w:u w:val="single"/>
          <w:lang w:val="en-US"/>
        </w:rPr>
        <w:fldChar w:fldCharType="end"/>
      </w:r>
    </w:p>
    <w:p w14:paraId="414C8318" w14:textId="77777777" w:rsidR="007B7D68" w:rsidRPr="007B7D68" w:rsidRDefault="007B7D68" w:rsidP="0018220E">
      <w:pPr>
        <w:spacing w:after="120"/>
        <w:ind w:left="709" w:hanging="709"/>
        <w:jc w:val="both"/>
        <w:rPr>
          <w:rFonts w:ascii="Times New Roman" w:eastAsia="Arial" w:hAnsi="Times New Roman" w:cs="Times New Roman"/>
          <w:sz w:val="22"/>
          <w:szCs w:val="22"/>
          <w:lang w:val="en-US"/>
        </w:rPr>
      </w:pPr>
      <w:proofErr w:type="spellStart"/>
      <w:r w:rsidRPr="007B7D68">
        <w:rPr>
          <w:rFonts w:ascii="Times New Roman" w:hAnsi="Times New Roman" w:cs="Times New Roman"/>
          <w:sz w:val="22"/>
          <w:szCs w:val="22"/>
          <w:lang w:val="en-US"/>
        </w:rPr>
        <w:t>Törnroos</w:t>
      </w:r>
      <w:proofErr w:type="spellEnd"/>
      <w:r w:rsidRPr="007B7D68">
        <w:rPr>
          <w:rFonts w:ascii="Times New Roman" w:hAnsi="Times New Roman" w:cs="Times New Roman"/>
          <w:sz w:val="22"/>
          <w:szCs w:val="22"/>
          <w:lang w:val="en-US"/>
        </w:rPr>
        <w:t xml:space="preserve">, J. (2005). Mathematics textbooks, opportunity to learn and student achievement. </w:t>
      </w:r>
      <w:r w:rsidRPr="007B7D68">
        <w:rPr>
          <w:rFonts w:ascii="Times New Roman" w:hAnsi="Times New Roman" w:cs="Times New Roman"/>
          <w:i/>
          <w:iCs/>
          <w:sz w:val="22"/>
          <w:szCs w:val="22"/>
          <w:lang w:val="en-US"/>
        </w:rPr>
        <w:t>Studies in Educational Evaluation, 31</w:t>
      </w:r>
      <w:r w:rsidRPr="007B7D68">
        <w:rPr>
          <w:rFonts w:ascii="Times New Roman" w:hAnsi="Times New Roman" w:cs="Times New Roman"/>
          <w:sz w:val="22"/>
          <w:szCs w:val="22"/>
          <w:lang w:val="en-US"/>
        </w:rPr>
        <w:t>, 315</w:t>
      </w:r>
      <w:r w:rsidRPr="007B7D68">
        <w:rPr>
          <w:rFonts w:ascii="Times New Roman" w:hAnsi="Times New Roman" w:cs="Times New Roman"/>
          <w:color w:val="000000"/>
          <w:sz w:val="22"/>
          <w:szCs w:val="22"/>
          <w:lang w:val="en-US"/>
        </w:rPr>
        <w:t>–</w:t>
      </w:r>
      <w:r w:rsidRPr="007B7D68">
        <w:rPr>
          <w:rFonts w:ascii="Times New Roman" w:hAnsi="Times New Roman" w:cs="Times New Roman"/>
          <w:sz w:val="22"/>
          <w:szCs w:val="22"/>
          <w:lang w:val="en-US"/>
        </w:rPr>
        <w:t xml:space="preserve">327. </w:t>
      </w:r>
    </w:p>
    <w:p w14:paraId="2F4E0D28" w14:textId="77777777" w:rsidR="007B7D68" w:rsidRPr="007B7D68" w:rsidRDefault="007B7D68" w:rsidP="0018220E">
      <w:pPr>
        <w:spacing w:after="120"/>
        <w:ind w:left="709" w:hanging="709"/>
        <w:jc w:val="both"/>
        <w:rPr>
          <w:rFonts w:ascii="Times New Roman" w:hAnsi="Times New Roman" w:cs="Times New Roman"/>
          <w:sz w:val="22"/>
          <w:szCs w:val="22"/>
          <w:lang w:val="en-US"/>
        </w:rPr>
      </w:pPr>
      <w:r w:rsidRPr="007B7D68">
        <w:rPr>
          <w:rFonts w:ascii="Times New Roman" w:hAnsi="Times New Roman" w:cs="Times New Roman"/>
          <w:sz w:val="22"/>
          <w:szCs w:val="22"/>
          <w:lang w:val="en-GB"/>
        </w:rPr>
        <w:lastRenderedPageBreak/>
        <w:t xml:space="preserve">Van Dooren, W., De Bock, D., Janssens, D., y </w:t>
      </w:r>
      <w:proofErr w:type="spellStart"/>
      <w:r w:rsidRPr="007B7D68">
        <w:rPr>
          <w:rFonts w:ascii="Times New Roman" w:hAnsi="Times New Roman" w:cs="Times New Roman"/>
          <w:sz w:val="22"/>
          <w:szCs w:val="22"/>
          <w:lang w:val="en-GB"/>
        </w:rPr>
        <w:t>Verschaffel</w:t>
      </w:r>
      <w:proofErr w:type="spellEnd"/>
      <w:r w:rsidRPr="007B7D68">
        <w:rPr>
          <w:rFonts w:ascii="Times New Roman" w:hAnsi="Times New Roman" w:cs="Times New Roman"/>
          <w:sz w:val="22"/>
          <w:szCs w:val="22"/>
          <w:lang w:val="en-GB"/>
        </w:rPr>
        <w:t xml:space="preserve">, L. (2008). </w:t>
      </w:r>
      <w:r w:rsidRPr="007B7D68">
        <w:rPr>
          <w:rFonts w:ascii="Times New Roman" w:hAnsi="Times New Roman" w:cs="Times New Roman"/>
          <w:sz w:val="22"/>
          <w:szCs w:val="22"/>
          <w:lang w:val="en-US"/>
        </w:rPr>
        <w:t xml:space="preserve">The linear imperative: An inventory and conceptual analysis of students’ overuse of linearity. </w:t>
      </w:r>
      <w:r w:rsidRPr="007B7D68">
        <w:rPr>
          <w:rFonts w:ascii="Times New Roman" w:hAnsi="Times New Roman" w:cs="Times New Roman"/>
          <w:i/>
          <w:iCs/>
          <w:sz w:val="22"/>
          <w:szCs w:val="22"/>
          <w:lang w:val="en-US"/>
        </w:rPr>
        <w:t>Journal for Research in Mathematics Education, 39</w:t>
      </w:r>
      <w:r w:rsidRPr="007B7D68">
        <w:rPr>
          <w:rFonts w:ascii="Times New Roman" w:hAnsi="Times New Roman" w:cs="Times New Roman"/>
          <w:sz w:val="22"/>
          <w:szCs w:val="22"/>
          <w:lang w:val="en-US"/>
        </w:rPr>
        <w:t>(3), 311–342.</w:t>
      </w:r>
    </w:p>
    <w:p w14:paraId="0EF0F1A3" w14:textId="605B7E69" w:rsidR="007B7D68" w:rsidRPr="007B7D68" w:rsidRDefault="007B7D68" w:rsidP="0018220E">
      <w:pPr>
        <w:pStyle w:val="paragraph"/>
        <w:spacing w:before="0" w:beforeAutospacing="0" w:after="120" w:afterAutospacing="0"/>
        <w:ind w:left="709" w:hanging="709"/>
        <w:jc w:val="both"/>
        <w:textAlignment w:val="baseline"/>
        <w:rPr>
          <w:sz w:val="22"/>
          <w:szCs w:val="22"/>
          <w:lang w:val="en-US"/>
        </w:rPr>
      </w:pPr>
      <w:r w:rsidRPr="00DF1548">
        <w:rPr>
          <w:sz w:val="22"/>
          <w:szCs w:val="22"/>
          <w:lang w:val="en-US"/>
        </w:rPr>
        <w:t xml:space="preserve">Yang, K. y Liu, X. (2019). </w:t>
      </w:r>
      <w:r w:rsidRPr="007B7D68">
        <w:rPr>
          <w:sz w:val="22"/>
          <w:szCs w:val="22"/>
          <w:lang w:val="en-US"/>
        </w:rPr>
        <w:t xml:space="preserve">Exploratory study on Taiwanese secondary teachers’ critiques of mathematics textbooks. </w:t>
      </w:r>
      <w:r w:rsidRPr="007B7D68">
        <w:rPr>
          <w:i/>
          <w:iCs/>
          <w:sz w:val="22"/>
          <w:szCs w:val="22"/>
          <w:lang w:val="en-US"/>
        </w:rPr>
        <w:t>Eurasia Journal of Mathematics, Science and Technology Education, 15</w:t>
      </w:r>
      <w:r w:rsidRPr="007B7D68">
        <w:rPr>
          <w:sz w:val="22"/>
          <w:szCs w:val="22"/>
          <w:lang w:val="en-US"/>
        </w:rPr>
        <w:t xml:space="preserve">(1), em1655. </w:t>
      </w:r>
      <w:hyperlink r:id="rId20" w:history="1">
        <w:r w:rsidRPr="007B7D68">
          <w:rPr>
            <w:rStyle w:val="Hipervnculo"/>
            <w:sz w:val="22"/>
            <w:szCs w:val="22"/>
            <w:lang w:val="en-US"/>
          </w:rPr>
          <w:t>https://doi.org/10.29333/ejmste/99515</w:t>
        </w:r>
      </w:hyperlink>
    </w:p>
    <w:p w14:paraId="6E1D9388" w14:textId="4265D676" w:rsidR="57A38557" w:rsidRPr="007B7D68" w:rsidRDefault="57A38557">
      <w:pPr>
        <w:rPr>
          <w:sz w:val="22"/>
          <w:szCs w:val="22"/>
          <w:lang w:val="en-US"/>
        </w:rPr>
      </w:pPr>
    </w:p>
    <w:sectPr w:rsidR="57A38557" w:rsidRPr="007B7D68" w:rsidSect="00575ECF">
      <w:headerReference w:type="first" r:id="rId21"/>
      <w:footerReference w:type="first" r:id="rId22"/>
      <w:pgSz w:w="9179" w:h="12977" w:code="145"/>
      <w:pgMar w:top="1418" w:right="1418" w:bottom="1418" w:left="851" w:header="0" w:footer="85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992D1" w14:textId="77777777" w:rsidR="00312951" w:rsidRDefault="00312951" w:rsidP="000E2BF2">
      <w:r>
        <w:separator/>
      </w:r>
    </w:p>
  </w:endnote>
  <w:endnote w:type="continuationSeparator" w:id="0">
    <w:p w14:paraId="7A0E7D4F" w14:textId="77777777" w:rsidR="00312951" w:rsidRDefault="00312951" w:rsidP="000E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4042" w14:textId="3F151E96" w:rsidR="007F621E" w:rsidRPr="00DF1548" w:rsidRDefault="007F621E" w:rsidP="007F621E">
    <w:pPr>
      <w:pStyle w:val="Piedepgina"/>
      <w:rPr>
        <w:rFonts w:ascii="Times New Roman" w:hAnsi="Times New Roman" w:cs="Times New Roman"/>
        <w:sz w:val="20"/>
        <w:szCs w:val="20"/>
        <w:lang w:val="en-US"/>
      </w:rPr>
    </w:pPr>
    <w:r w:rsidRPr="00DF1548">
      <w:rPr>
        <w:rFonts w:ascii="Times New Roman" w:hAnsi="Times New Roman" w:cs="Times New Roman"/>
        <w:sz w:val="20"/>
        <w:szCs w:val="20"/>
        <w:lang w:val="en-US"/>
      </w:rPr>
      <w:t>__________________</w:t>
    </w:r>
  </w:p>
  <w:p w14:paraId="19960DCB" w14:textId="5C377664" w:rsidR="007F621E" w:rsidRPr="00916749" w:rsidRDefault="007F621E" w:rsidP="007F621E">
    <w:pPr>
      <w:pStyle w:val="Piedepgina"/>
      <w:rPr>
        <w:rFonts w:ascii="Times New Roman" w:hAnsi="Times New Roman" w:cs="Times New Roman"/>
        <w:sz w:val="20"/>
        <w:szCs w:val="20"/>
        <w:lang w:val="en-US"/>
      </w:rPr>
    </w:pPr>
    <w:r w:rsidRPr="00916749">
      <w:rPr>
        <w:rFonts w:ascii="Times New Roman" w:hAnsi="Times New Roman" w:cs="Times New Roman"/>
        <w:sz w:val="20"/>
        <w:szCs w:val="20"/>
        <w:lang w:val="en-US"/>
      </w:rPr>
      <w:t xml:space="preserve">Corresponding author: </w:t>
    </w:r>
  </w:p>
  <w:p w14:paraId="511C0B01" w14:textId="77777777" w:rsidR="00C72106" w:rsidRPr="00916749" w:rsidRDefault="00C72106" w:rsidP="00C72106">
    <w:pPr>
      <w:pStyle w:val="local"/>
      <w:widowControl w:val="0"/>
      <w:autoSpaceDE w:val="0"/>
      <w:autoSpaceDN w:val="0"/>
      <w:adjustRightInd w:val="0"/>
      <w:spacing w:after="0"/>
      <w:jc w:val="both"/>
      <w:rPr>
        <w:rFonts w:ascii="Times New Roman" w:hAnsi="Times New Roman"/>
        <w:sz w:val="20"/>
        <w:lang w:val="en-US"/>
      </w:rPr>
    </w:pPr>
  </w:p>
  <w:p w14:paraId="3BDF1827" w14:textId="77777777" w:rsidR="00C72106" w:rsidRPr="00916749" w:rsidRDefault="00C72106" w:rsidP="00C72106">
    <w:pPr>
      <w:pStyle w:val="local"/>
      <w:widowControl w:val="0"/>
      <w:autoSpaceDE w:val="0"/>
      <w:autoSpaceDN w:val="0"/>
      <w:adjustRightInd w:val="0"/>
      <w:spacing w:after="0"/>
      <w:jc w:val="both"/>
      <w:rPr>
        <w:rFonts w:ascii="Times New Roman" w:hAnsi="Times New Roman"/>
        <w:sz w:val="20"/>
        <w:lang w:val="en-US"/>
      </w:rPr>
    </w:pPr>
  </w:p>
  <w:p w14:paraId="1D4AF9A1" w14:textId="78AE747E" w:rsidR="007F621E" w:rsidRPr="00916749" w:rsidRDefault="00C72106" w:rsidP="00C72106">
    <w:pPr>
      <w:pStyle w:val="Piedepgina"/>
      <w:jc w:val="center"/>
      <w:rPr>
        <w:rFonts w:ascii="Times New Roman" w:hAnsi="Times New Roman" w:cs="Times New Roman"/>
        <w:lang w:val="en-US"/>
      </w:rPr>
    </w:pPr>
    <w:r w:rsidRPr="00916749">
      <w:rPr>
        <w:rFonts w:ascii="Times New Roman" w:eastAsiaTheme="minorHAnsi" w:hAnsi="Times New Roman" w:cs="Times New Roman"/>
        <w:kern w:val="0"/>
        <w:sz w:val="16"/>
        <w:szCs w:val="16"/>
        <w:lang w:val="en-US"/>
      </w:rPr>
      <w:t>Acta Sci. (Canoas</w:t>
    </w:r>
    <w:r w:rsidRPr="00916749">
      <w:rPr>
        <w:rFonts w:ascii="Times New Roman" w:eastAsiaTheme="minorHAnsi" w:hAnsi="Times New Roman" w:cs="Times New Roman"/>
        <w:i/>
        <w:iCs/>
        <w:kern w:val="0"/>
        <w:sz w:val="16"/>
        <w:szCs w:val="16"/>
        <w:lang w:val="en-US"/>
      </w:rPr>
      <w:t>), 2</w:t>
    </w:r>
    <w:r w:rsidRPr="00916749">
      <w:rPr>
        <w:rFonts w:ascii="Times New Roman" w:eastAsiaTheme="minorHAnsi" w:hAnsi="Times New Roman" w:cs="Times New Roman"/>
        <w:i/>
        <w:iCs/>
        <w:sz w:val="16"/>
        <w:szCs w:val="16"/>
        <w:lang w:val="en-US"/>
      </w:rPr>
      <w:t>3</w:t>
    </w:r>
    <w:r w:rsidRPr="00916749">
      <w:rPr>
        <w:rFonts w:ascii="Times New Roman" w:eastAsiaTheme="minorHAnsi" w:hAnsi="Times New Roman" w:cs="Times New Roman"/>
        <w:kern w:val="0"/>
        <w:sz w:val="16"/>
        <w:szCs w:val="16"/>
        <w:lang w:val="en-US"/>
      </w:rPr>
      <w:t>(</w:t>
    </w:r>
    <w:r w:rsidRPr="00916749">
      <w:rPr>
        <w:rFonts w:ascii="Times New Roman" w:eastAsiaTheme="minorHAnsi" w:hAnsi="Times New Roman" w:cs="Times New Roman"/>
        <w:sz w:val="16"/>
        <w:szCs w:val="16"/>
        <w:lang w:val="en-US"/>
      </w:rPr>
      <w:t>1</w:t>
    </w:r>
    <w:r w:rsidRPr="00916749">
      <w:rPr>
        <w:rFonts w:ascii="Times New Roman" w:eastAsiaTheme="minorHAnsi" w:hAnsi="Times New Roman" w:cs="Times New Roman"/>
        <w:kern w:val="0"/>
        <w:sz w:val="16"/>
        <w:szCs w:val="16"/>
        <w:lang w:val="en-US"/>
      </w:rPr>
      <w:t xml:space="preserve">), </w:t>
    </w:r>
    <w:r w:rsidRPr="00916749">
      <w:rPr>
        <w:rFonts w:ascii="Times New Roman" w:eastAsiaTheme="minorHAnsi" w:hAnsi="Times New Roman" w:cs="Times New Roman"/>
        <w:sz w:val="16"/>
        <w:szCs w:val="16"/>
        <w:lang w:val="en-US"/>
      </w:rPr>
      <w:t>1</w:t>
    </w:r>
    <w:r w:rsidRPr="00916749">
      <w:rPr>
        <w:rFonts w:ascii="Times New Roman" w:eastAsiaTheme="minorHAnsi" w:hAnsi="Times New Roman" w:cs="Times New Roman"/>
        <w:kern w:val="0"/>
        <w:sz w:val="16"/>
        <w:szCs w:val="16"/>
        <w:lang w:val="en-US"/>
      </w:rPr>
      <w:t>-</w:t>
    </w:r>
    <w:r w:rsidRPr="00916749">
      <w:rPr>
        <w:rFonts w:ascii="Times New Roman" w:eastAsiaTheme="minorHAnsi" w:hAnsi="Times New Roman" w:cs="Times New Roman"/>
        <w:sz w:val="16"/>
        <w:szCs w:val="16"/>
        <w:lang w:val="en-US"/>
      </w:rPr>
      <w:t>17</w:t>
    </w:r>
    <w:r w:rsidRPr="00916749">
      <w:rPr>
        <w:rFonts w:ascii="Times New Roman" w:eastAsiaTheme="minorHAnsi" w:hAnsi="Times New Roman" w:cs="Times New Roman"/>
        <w:kern w:val="0"/>
        <w:sz w:val="16"/>
        <w:szCs w:val="16"/>
        <w:lang w:val="en-US"/>
      </w:rPr>
      <w:t xml:space="preserve">, </w:t>
    </w:r>
    <w:r w:rsidRPr="00916749">
      <w:rPr>
        <w:rFonts w:ascii="Times New Roman" w:eastAsiaTheme="minorHAnsi" w:hAnsi="Times New Roman" w:cs="Times New Roman"/>
        <w:sz w:val="16"/>
        <w:szCs w:val="16"/>
        <w:lang w:val="en-US"/>
      </w:rPr>
      <w:t>Jan</w:t>
    </w:r>
    <w:r w:rsidRPr="00916749">
      <w:rPr>
        <w:rFonts w:ascii="Times New Roman" w:eastAsiaTheme="minorHAnsi" w:hAnsi="Times New Roman" w:cs="Times New Roman"/>
        <w:kern w:val="0"/>
        <w:sz w:val="16"/>
        <w:szCs w:val="16"/>
        <w:lang w:val="en-US"/>
      </w:rPr>
      <w:t>./</w:t>
    </w:r>
    <w:proofErr w:type="spellStart"/>
    <w:r w:rsidRPr="00916749">
      <w:rPr>
        <w:rFonts w:ascii="Times New Roman" w:eastAsiaTheme="minorHAnsi" w:hAnsi="Times New Roman" w:cs="Times New Roman"/>
        <w:sz w:val="16"/>
        <w:szCs w:val="16"/>
        <w:lang w:val="en-US"/>
      </w:rPr>
      <w:t>Fev</w:t>
    </w:r>
    <w:proofErr w:type="spellEnd"/>
    <w:r w:rsidRPr="00916749">
      <w:rPr>
        <w:rFonts w:ascii="Times New Roman" w:eastAsiaTheme="minorHAnsi" w:hAnsi="Times New Roman" w:cs="Times New Roman"/>
        <w:kern w:val="0"/>
        <w:sz w:val="16"/>
        <w:szCs w:val="16"/>
        <w:lang w:val="en-US"/>
      </w:rPr>
      <w:t>. 202</w:t>
    </w:r>
    <w:r w:rsidRPr="00916749">
      <w:rPr>
        <w:rFonts w:ascii="Times New Roman" w:eastAsiaTheme="minorHAnsi" w:hAnsi="Times New Roman" w:cs="Times New Roman"/>
        <w:sz w:val="16"/>
        <w:szCs w:val="16"/>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B8086" w14:textId="77777777" w:rsidR="00312951" w:rsidRDefault="00312951" w:rsidP="000E2BF2">
      <w:r>
        <w:separator/>
      </w:r>
    </w:p>
  </w:footnote>
  <w:footnote w:type="continuationSeparator" w:id="0">
    <w:p w14:paraId="752B9C10" w14:textId="77777777" w:rsidR="00312951" w:rsidRDefault="00312951" w:rsidP="000E2BF2">
      <w:r>
        <w:continuationSeparator/>
      </w:r>
    </w:p>
  </w:footnote>
  <w:footnote w:id="1">
    <w:p w14:paraId="761354C6" w14:textId="188281F4" w:rsidR="009B7C48" w:rsidRPr="009B7C48" w:rsidRDefault="009B7C48" w:rsidP="009B7C48">
      <w:pPr>
        <w:pStyle w:val="Textonotapie"/>
        <w:jc w:val="both"/>
        <w:rPr>
          <w:rFonts w:ascii="Times New Roman" w:eastAsia="Times New Roman" w:hAnsi="Times New Roman" w:cs="Times New Roman"/>
          <w:sz w:val="16"/>
          <w:szCs w:val="16"/>
          <w:lang w:val="en-GB"/>
        </w:rPr>
      </w:pPr>
      <w:r>
        <w:rPr>
          <w:rStyle w:val="Refdenotaalpie"/>
        </w:rPr>
        <w:footnoteRef/>
      </w:r>
      <w:r>
        <w:t xml:space="preserve"> </w:t>
      </w:r>
      <w:r w:rsidRPr="009B7C48">
        <w:rPr>
          <w:rFonts w:ascii="Times New Roman" w:eastAsia="Times New Roman" w:hAnsi="Times New Roman" w:cs="Times New Roman"/>
          <w:sz w:val="16"/>
          <w:szCs w:val="16"/>
          <w:lang w:val="en-GB"/>
        </w:rPr>
        <w:t xml:space="preserve">El Formulario de Consentimiento Informado (TCLE) no fue firmado, porque no se revela la identidad de los participantes, en cualquier caso, eximimos a Acta </w:t>
      </w:r>
      <w:proofErr w:type="spellStart"/>
      <w:r w:rsidRPr="009B7C48">
        <w:rPr>
          <w:rFonts w:ascii="Times New Roman" w:eastAsia="Times New Roman" w:hAnsi="Times New Roman" w:cs="Times New Roman"/>
          <w:sz w:val="16"/>
          <w:szCs w:val="16"/>
          <w:lang w:val="en-GB"/>
        </w:rPr>
        <w:t>Scientiae</w:t>
      </w:r>
      <w:proofErr w:type="spellEnd"/>
      <w:r w:rsidRPr="009B7C48">
        <w:rPr>
          <w:rFonts w:ascii="Times New Roman" w:eastAsia="Times New Roman" w:hAnsi="Times New Roman" w:cs="Times New Roman"/>
          <w:sz w:val="16"/>
          <w:szCs w:val="16"/>
          <w:lang w:val="en-GB"/>
        </w:rPr>
        <w:t xml:space="preserve"> de las consecuencias derivadas del mismo, incluyendo la asistencia integral y la eventual indemnización por cualquier daño resultante de cualquiera de los participantes en la investigación, de acuerdo con la Resolución N º 510, de 7 de abril de 2016, del Consejo Nacional de Salud de Brasil.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A57F" w14:textId="77777777" w:rsidR="00575ECF" w:rsidRPr="00575ECF" w:rsidRDefault="00575ECF" w:rsidP="00575ECF">
    <w:pPr>
      <w:tabs>
        <w:tab w:val="left" w:pos="1470"/>
        <w:tab w:val="right" w:pos="8498"/>
      </w:tabs>
      <w:spacing w:after="60"/>
      <w:jc w:val="right"/>
      <w:rPr>
        <w:rFonts w:ascii="Times New Roman" w:hAnsi="Times New Roman" w:cs="Times New Roman"/>
        <w:b/>
        <w:bCs/>
        <w:sz w:val="28"/>
        <w:szCs w:val="12"/>
      </w:rPr>
    </w:pPr>
    <w:bookmarkStart w:id="4" w:name="_Hlk8025784"/>
    <w:r w:rsidRPr="00575ECF">
      <w:rPr>
        <w:rFonts w:ascii="Times New Roman" w:hAnsi="Times New Roman" w:cs="Times New Roman"/>
        <w:noProof/>
        <w:sz w:val="22"/>
        <w:szCs w:val="18"/>
        <w:lang w:val="pt-BR" w:eastAsia="pt-BR" w:bidi="ar-SA"/>
      </w:rPr>
      <w:drawing>
        <wp:anchor distT="0" distB="0" distL="114300" distR="114300" simplePos="0" relativeHeight="251662336" behindDoc="0" locked="0" layoutInCell="1" allowOverlap="1" wp14:anchorId="6EBDA0D3" wp14:editId="7BCFA0F4">
          <wp:simplePos x="0" y="0"/>
          <wp:positionH relativeFrom="column">
            <wp:align>left</wp:align>
          </wp:positionH>
          <wp:positionV relativeFrom="page">
            <wp:posOffset>71755</wp:posOffset>
          </wp:positionV>
          <wp:extent cx="532800" cy="374400"/>
          <wp:effectExtent l="0" t="0" r="635" b="6985"/>
          <wp:wrapNone/>
          <wp:docPr id="12" name="Picture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800" cy="3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ECF">
      <w:rPr>
        <w:rFonts w:ascii="Times New Roman" w:hAnsi="Times New Roman" w:cs="Times New Roman"/>
        <w:noProof/>
        <w:sz w:val="22"/>
        <w:szCs w:val="18"/>
        <w:lang w:val="pt-BR" w:eastAsia="pt-BR" w:bidi="ar-SA"/>
      </w:rPr>
      <w:drawing>
        <wp:anchor distT="0" distB="0" distL="114300" distR="114300" simplePos="0" relativeHeight="251656192" behindDoc="0" locked="0" layoutInCell="1" allowOverlap="1" wp14:anchorId="675EBCD4" wp14:editId="387F0B86">
          <wp:simplePos x="0" y="0"/>
          <wp:positionH relativeFrom="column">
            <wp:align>right</wp:align>
          </wp:positionH>
          <wp:positionV relativeFrom="page">
            <wp:posOffset>71755</wp:posOffset>
          </wp:positionV>
          <wp:extent cx="763270" cy="144145"/>
          <wp:effectExtent l="0" t="0" r="0" b="0"/>
          <wp:wrapNone/>
          <wp:docPr id="31" name="Picture 4">
            <a:hlinkClick xmlns:a="http://schemas.openxmlformats.org/drawingml/2006/main" r:id="rId3" tooltip="This work is licensed under a Creative Commons Attribution 4.0 International License (http://creativecommons.org/licenses/by/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 tooltip="This work is licensed under a Creative Commons Attribution 4.0 International License (http://creativecommons.org/licenses/by/4.0/)."/>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3270" cy="1441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5" w:name="_Hlk7869852"/>
  <w:p w14:paraId="6132CF61" w14:textId="77777777" w:rsidR="00575ECF" w:rsidRPr="00575ECF" w:rsidRDefault="00575ECF" w:rsidP="00575ECF">
    <w:pPr>
      <w:jc w:val="right"/>
      <w:rPr>
        <w:rFonts w:ascii="Times New Roman" w:hAnsi="Times New Roman" w:cs="Times New Roman"/>
        <w:b/>
        <w:bCs/>
        <w:sz w:val="16"/>
        <w:szCs w:val="16"/>
      </w:rPr>
    </w:pPr>
    <w:r w:rsidRPr="00575ECF">
      <w:rPr>
        <w:rFonts w:ascii="Times New Roman" w:hAnsi="Times New Roman" w:cs="Times New Roman"/>
        <w:b/>
        <w:bCs/>
        <w:sz w:val="16"/>
        <w:szCs w:val="16"/>
      </w:rPr>
      <w:fldChar w:fldCharType="begin"/>
    </w:r>
    <w:r w:rsidRPr="00575ECF">
      <w:rPr>
        <w:rFonts w:ascii="Times New Roman" w:hAnsi="Times New Roman" w:cs="Times New Roman"/>
        <w:b/>
        <w:bCs/>
        <w:sz w:val="16"/>
        <w:szCs w:val="16"/>
      </w:rPr>
      <w:instrText xml:space="preserve"> HYPERLINK "http://www.periodicos.ulbra.br/index.php/acta/" </w:instrText>
    </w:r>
    <w:r w:rsidRPr="00575ECF">
      <w:rPr>
        <w:rFonts w:ascii="Times New Roman" w:hAnsi="Times New Roman" w:cs="Times New Roman"/>
        <w:b/>
        <w:bCs/>
        <w:sz w:val="16"/>
        <w:szCs w:val="16"/>
      </w:rPr>
    </w:r>
    <w:r w:rsidRPr="00575ECF">
      <w:rPr>
        <w:rFonts w:ascii="Times New Roman" w:hAnsi="Times New Roman" w:cs="Times New Roman"/>
        <w:b/>
        <w:bCs/>
        <w:sz w:val="16"/>
        <w:szCs w:val="16"/>
      </w:rPr>
      <w:fldChar w:fldCharType="separate"/>
    </w:r>
    <w:r w:rsidRPr="00575ECF">
      <w:rPr>
        <w:rStyle w:val="Hipervnculo"/>
        <w:rFonts w:ascii="Times New Roman" w:hAnsi="Times New Roman" w:cs="Times New Roman"/>
        <w:b/>
        <w:bCs/>
        <w:color w:val="auto"/>
        <w:sz w:val="16"/>
        <w:szCs w:val="16"/>
        <w:u w:val="none"/>
      </w:rPr>
      <w:t>ISSN</w:t>
    </w:r>
    <w:r w:rsidRPr="00575ECF">
      <w:rPr>
        <w:rStyle w:val="Hipervnculo"/>
        <w:rFonts w:ascii="Times New Roman" w:hAnsi="Times New Roman" w:cs="Times New Roman"/>
        <w:color w:val="auto"/>
        <w:sz w:val="16"/>
        <w:szCs w:val="16"/>
        <w:u w:val="none"/>
      </w:rPr>
      <w:t>: 2178-7727</w:t>
    </w:r>
    <w:r w:rsidRPr="00575ECF">
      <w:rPr>
        <w:rFonts w:ascii="Times New Roman" w:hAnsi="Times New Roman" w:cs="Times New Roman"/>
        <w:b/>
        <w:bCs/>
        <w:sz w:val="16"/>
        <w:szCs w:val="16"/>
      </w:rPr>
      <w:fldChar w:fldCharType="end"/>
    </w:r>
  </w:p>
  <w:bookmarkEnd w:id="4"/>
  <w:p w14:paraId="754A98B2" w14:textId="09027751" w:rsidR="00575ECF" w:rsidRPr="00575ECF" w:rsidRDefault="00575ECF" w:rsidP="00575ECF">
    <w:pPr>
      <w:jc w:val="right"/>
      <w:rPr>
        <w:rStyle w:val="Hipervnculo"/>
        <w:rFonts w:ascii="Times New Roman" w:hAnsi="Times New Roman" w:cs="Times New Roman"/>
        <w:color w:val="auto"/>
        <w:sz w:val="16"/>
        <w:szCs w:val="16"/>
        <w:u w:val="none"/>
      </w:rPr>
    </w:pPr>
    <w:r w:rsidRPr="00575ECF">
      <w:rPr>
        <w:rFonts w:ascii="Times New Roman" w:hAnsi="Times New Roman" w:cs="Times New Roman"/>
        <w:b/>
        <w:bCs/>
        <w:sz w:val="16"/>
        <w:szCs w:val="16"/>
        <w:lang w:val="pt-PT" w:eastAsia="pt-PT"/>
      </w:rPr>
      <w:fldChar w:fldCharType="begin"/>
    </w:r>
    <w:r>
      <w:rPr>
        <w:rFonts w:ascii="Times New Roman" w:hAnsi="Times New Roman" w:cs="Times New Roman"/>
        <w:b/>
        <w:bCs/>
        <w:sz w:val="16"/>
        <w:szCs w:val="16"/>
        <w:lang w:val="pt-PT" w:eastAsia="pt-PT"/>
      </w:rPr>
      <w:instrText>HYPERLINK "https://doi.org/10.17648/acta.scientiae.XXXX"</w:instrText>
    </w:r>
    <w:r w:rsidRPr="00575ECF">
      <w:rPr>
        <w:rFonts w:ascii="Times New Roman" w:hAnsi="Times New Roman" w:cs="Times New Roman"/>
        <w:b/>
        <w:bCs/>
        <w:sz w:val="16"/>
        <w:szCs w:val="16"/>
        <w:lang w:val="pt-PT" w:eastAsia="pt-PT"/>
      </w:rPr>
    </w:r>
    <w:r w:rsidRPr="00575ECF">
      <w:rPr>
        <w:rFonts w:ascii="Times New Roman" w:hAnsi="Times New Roman" w:cs="Times New Roman"/>
        <w:b/>
        <w:bCs/>
        <w:sz w:val="16"/>
        <w:szCs w:val="16"/>
        <w:lang w:val="pt-PT" w:eastAsia="pt-PT"/>
      </w:rPr>
      <w:fldChar w:fldCharType="separate"/>
    </w:r>
    <w:r w:rsidRPr="00575ECF">
      <w:rPr>
        <w:rStyle w:val="Hipervnculo"/>
        <w:rFonts w:ascii="Times New Roman" w:hAnsi="Times New Roman" w:cs="Times New Roman"/>
        <w:b/>
        <w:bCs/>
        <w:color w:val="auto"/>
        <w:sz w:val="16"/>
        <w:szCs w:val="16"/>
        <w:u w:val="none"/>
      </w:rPr>
      <w:t>DOI</w:t>
    </w:r>
    <w:r w:rsidRPr="00575ECF">
      <w:rPr>
        <w:rStyle w:val="Hipervnculo"/>
        <w:rFonts w:ascii="Times New Roman" w:hAnsi="Times New Roman" w:cs="Times New Roman"/>
        <w:color w:val="auto"/>
        <w:sz w:val="16"/>
        <w:szCs w:val="16"/>
        <w:u w:val="none"/>
      </w:rPr>
      <w:t>: 10.17648/</w:t>
    </w:r>
    <w:proofErr w:type="spellStart"/>
    <w:r w:rsidRPr="00575ECF">
      <w:rPr>
        <w:rStyle w:val="Hipervnculo"/>
        <w:rFonts w:ascii="Times New Roman" w:hAnsi="Times New Roman" w:cs="Times New Roman"/>
        <w:color w:val="auto"/>
        <w:sz w:val="16"/>
        <w:szCs w:val="16"/>
        <w:u w:val="none"/>
      </w:rPr>
      <w:t>acta.scientiae.</w:t>
    </w:r>
    <w:bookmarkEnd w:id="5"/>
    <w:r>
      <w:rPr>
        <w:rStyle w:val="Hipervnculo"/>
        <w:rFonts w:ascii="Times New Roman" w:hAnsi="Times New Roman" w:cs="Times New Roman"/>
        <w:color w:val="auto"/>
        <w:sz w:val="16"/>
        <w:szCs w:val="16"/>
        <w:u w:val="none"/>
      </w:rPr>
      <w:t>XXXX</w:t>
    </w:r>
    <w:proofErr w:type="spellEnd"/>
  </w:p>
  <w:p w14:paraId="49D0EA69" w14:textId="77777777" w:rsidR="00575ECF" w:rsidRPr="00575ECF" w:rsidRDefault="00575ECF" w:rsidP="00575ECF">
    <w:pPr>
      <w:pStyle w:val="Encabezado"/>
      <w:rPr>
        <w:rFonts w:ascii="Times New Roman" w:hAnsi="Times New Roman" w:cs="Times New Roman"/>
        <w:sz w:val="16"/>
        <w:szCs w:val="16"/>
      </w:rPr>
    </w:pPr>
    <w:r w:rsidRPr="00575ECF">
      <w:rPr>
        <w:rFonts w:ascii="Times New Roman" w:hAnsi="Times New Roman" w:cs="Times New Roman"/>
        <w:b/>
        <w:bCs/>
        <w:sz w:val="16"/>
        <w:szCs w:val="16"/>
      </w:rPr>
      <w:fldChar w:fldCharType="end"/>
    </w:r>
  </w:p>
  <w:p w14:paraId="3B5F7F47" w14:textId="77777777" w:rsidR="007D7CC8" w:rsidRPr="00575ECF" w:rsidRDefault="007D7CC8">
    <w:pPr>
      <w:pStyle w:val="Encabezado"/>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137"/>
    <w:multiLevelType w:val="hybridMultilevel"/>
    <w:tmpl w:val="73C483D6"/>
    <w:lvl w:ilvl="0" w:tplc="7E46A5C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710D60"/>
    <w:multiLevelType w:val="hybridMultilevel"/>
    <w:tmpl w:val="928469F8"/>
    <w:lvl w:ilvl="0" w:tplc="7E46A5C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62C41F9"/>
    <w:multiLevelType w:val="hybridMultilevel"/>
    <w:tmpl w:val="637CF52C"/>
    <w:lvl w:ilvl="0" w:tplc="1A883E76">
      <w:start w:val="1"/>
      <w:numFmt w:val="bullet"/>
      <w:lvlText w:val=""/>
      <w:lvlJc w:val="left"/>
      <w:pPr>
        <w:ind w:left="720" w:hanging="360"/>
      </w:pPr>
      <w:rPr>
        <w:rFonts w:ascii="Symbol" w:hAnsi="Symbol" w:hint="default"/>
      </w:rPr>
    </w:lvl>
    <w:lvl w:ilvl="1" w:tplc="869220DE">
      <w:start w:val="1"/>
      <w:numFmt w:val="bullet"/>
      <w:lvlText w:val="o"/>
      <w:lvlJc w:val="left"/>
      <w:pPr>
        <w:ind w:left="1440" w:hanging="360"/>
      </w:pPr>
      <w:rPr>
        <w:rFonts w:ascii="Courier New" w:hAnsi="Courier New" w:hint="default"/>
      </w:rPr>
    </w:lvl>
    <w:lvl w:ilvl="2" w:tplc="2C9E300A">
      <w:start w:val="1"/>
      <w:numFmt w:val="bullet"/>
      <w:lvlText w:val=""/>
      <w:lvlJc w:val="left"/>
      <w:pPr>
        <w:ind w:left="2160" w:hanging="360"/>
      </w:pPr>
      <w:rPr>
        <w:rFonts w:ascii="Wingdings" w:hAnsi="Wingdings" w:hint="default"/>
      </w:rPr>
    </w:lvl>
    <w:lvl w:ilvl="3" w:tplc="650252CC">
      <w:start w:val="1"/>
      <w:numFmt w:val="bullet"/>
      <w:lvlText w:val=""/>
      <w:lvlJc w:val="left"/>
      <w:pPr>
        <w:ind w:left="2880" w:hanging="360"/>
      </w:pPr>
      <w:rPr>
        <w:rFonts w:ascii="Symbol" w:hAnsi="Symbol" w:hint="default"/>
      </w:rPr>
    </w:lvl>
    <w:lvl w:ilvl="4" w:tplc="EEA82114">
      <w:start w:val="1"/>
      <w:numFmt w:val="bullet"/>
      <w:lvlText w:val="o"/>
      <w:lvlJc w:val="left"/>
      <w:pPr>
        <w:ind w:left="3600" w:hanging="360"/>
      </w:pPr>
      <w:rPr>
        <w:rFonts w:ascii="Courier New" w:hAnsi="Courier New" w:hint="default"/>
      </w:rPr>
    </w:lvl>
    <w:lvl w:ilvl="5" w:tplc="3F2A9506">
      <w:start w:val="1"/>
      <w:numFmt w:val="bullet"/>
      <w:lvlText w:val=""/>
      <w:lvlJc w:val="left"/>
      <w:pPr>
        <w:ind w:left="4320" w:hanging="360"/>
      </w:pPr>
      <w:rPr>
        <w:rFonts w:ascii="Wingdings" w:hAnsi="Wingdings" w:hint="default"/>
      </w:rPr>
    </w:lvl>
    <w:lvl w:ilvl="6" w:tplc="7D8CEBD6">
      <w:start w:val="1"/>
      <w:numFmt w:val="bullet"/>
      <w:lvlText w:val=""/>
      <w:lvlJc w:val="left"/>
      <w:pPr>
        <w:ind w:left="5040" w:hanging="360"/>
      </w:pPr>
      <w:rPr>
        <w:rFonts w:ascii="Symbol" w:hAnsi="Symbol" w:hint="default"/>
      </w:rPr>
    </w:lvl>
    <w:lvl w:ilvl="7" w:tplc="F24A9F4A">
      <w:start w:val="1"/>
      <w:numFmt w:val="bullet"/>
      <w:lvlText w:val="o"/>
      <w:lvlJc w:val="left"/>
      <w:pPr>
        <w:ind w:left="5760" w:hanging="360"/>
      </w:pPr>
      <w:rPr>
        <w:rFonts w:ascii="Courier New" w:hAnsi="Courier New" w:hint="default"/>
      </w:rPr>
    </w:lvl>
    <w:lvl w:ilvl="8" w:tplc="7602B1BA">
      <w:start w:val="1"/>
      <w:numFmt w:val="bullet"/>
      <w:lvlText w:val=""/>
      <w:lvlJc w:val="left"/>
      <w:pPr>
        <w:ind w:left="6480" w:hanging="360"/>
      </w:pPr>
      <w:rPr>
        <w:rFonts w:ascii="Wingdings" w:hAnsi="Wingdings" w:hint="default"/>
      </w:rPr>
    </w:lvl>
  </w:abstractNum>
  <w:abstractNum w:abstractNumId="3" w15:restartNumberingAfterBreak="0">
    <w:nsid w:val="50E93962"/>
    <w:multiLevelType w:val="hybridMultilevel"/>
    <w:tmpl w:val="4A54C9FE"/>
    <w:lvl w:ilvl="0" w:tplc="BF84ACD0">
      <w:start w:val="1"/>
      <w:numFmt w:val="bullet"/>
      <w:lvlText w:val=""/>
      <w:lvlJc w:val="left"/>
      <w:pPr>
        <w:ind w:left="720" w:hanging="360"/>
      </w:pPr>
      <w:rPr>
        <w:rFonts w:ascii="Symbol" w:hAnsi="Symbol" w:hint="default"/>
      </w:rPr>
    </w:lvl>
    <w:lvl w:ilvl="1" w:tplc="3E7EF0F4">
      <w:start w:val="1"/>
      <w:numFmt w:val="bullet"/>
      <w:lvlText w:val="o"/>
      <w:lvlJc w:val="left"/>
      <w:pPr>
        <w:ind w:left="1440" w:hanging="360"/>
      </w:pPr>
      <w:rPr>
        <w:rFonts w:ascii="Courier New" w:hAnsi="Courier New" w:hint="default"/>
      </w:rPr>
    </w:lvl>
    <w:lvl w:ilvl="2" w:tplc="6A6C3FAA">
      <w:start w:val="1"/>
      <w:numFmt w:val="bullet"/>
      <w:lvlText w:val=""/>
      <w:lvlJc w:val="left"/>
      <w:pPr>
        <w:ind w:left="2160" w:hanging="360"/>
      </w:pPr>
      <w:rPr>
        <w:rFonts w:ascii="Wingdings" w:hAnsi="Wingdings" w:hint="default"/>
      </w:rPr>
    </w:lvl>
    <w:lvl w:ilvl="3" w:tplc="AAE806B4">
      <w:start w:val="1"/>
      <w:numFmt w:val="bullet"/>
      <w:lvlText w:val=""/>
      <w:lvlJc w:val="left"/>
      <w:pPr>
        <w:ind w:left="2880" w:hanging="360"/>
      </w:pPr>
      <w:rPr>
        <w:rFonts w:ascii="Symbol" w:hAnsi="Symbol" w:hint="default"/>
      </w:rPr>
    </w:lvl>
    <w:lvl w:ilvl="4" w:tplc="A68CE4AE">
      <w:start w:val="1"/>
      <w:numFmt w:val="bullet"/>
      <w:lvlText w:val="o"/>
      <w:lvlJc w:val="left"/>
      <w:pPr>
        <w:ind w:left="3600" w:hanging="360"/>
      </w:pPr>
      <w:rPr>
        <w:rFonts w:ascii="Courier New" w:hAnsi="Courier New" w:hint="default"/>
      </w:rPr>
    </w:lvl>
    <w:lvl w:ilvl="5" w:tplc="63B0DF2C">
      <w:start w:val="1"/>
      <w:numFmt w:val="bullet"/>
      <w:lvlText w:val=""/>
      <w:lvlJc w:val="left"/>
      <w:pPr>
        <w:ind w:left="4320" w:hanging="360"/>
      </w:pPr>
      <w:rPr>
        <w:rFonts w:ascii="Wingdings" w:hAnsi="Wingdings" w:hint="default"/>
      </w:rPr>
    </w:lvl>
    <w:lvl w:ilvl="6" w:tplc="2764731C">
      <w:start w:val="1"/>
      <w:numFmt w:val="bullet"/>
      <w:lvlText w:val=""/>
      <w:lvlJc w:val="left"/>
      <w:pPr>
        <w:ind w:left="5040" w:hanging="360"/>
      </w:pPr>
      <w:rPr>
        <w:rFonts w:ascii="Symbol" w:hAnsi="Symbol" w:hint="default"/>
      </w:rPr>
    </w:lvl>
    <w:lvl w:ilvl="7" w:tplc="63788C8C">
      <w:start w:val="1"/>
      <w:numFmt w:val="bullet"/>
      <w:lvlText w:val="o"/>
      <w:lvlJc w:val="left"/>
      <w:pPr>
        <w:ind w:left="5760" w:hanging="360"/>
      </w:pPr>
      <w:rPr>
        <w:rFonts w:ascii="Courier New" w:hAnsi="Courier New" w:hint="default"/>
      </w:rPr>
    </w:lvl>
    <w:lvl w:ilvl="8" w:tplc="62A4AF92">
      <w:start w:val="1"/>
      <w:numFmt w:val="bullet"/>
      <w:lvlText w:val=""/>
      <w:lvlJc w:val="left"/>
      <w:pPr>
        <w:ind w:left="6480" w:hanging="360"/>
      </w:pPr>
      <w:rPr>
        <w:rFonts w:ascii="Wingdings" w:hAnsi="Wingdings" w:hint="default"/>
      </w:rPr>
    </w:lvl>
  </w:abstractNum>
  <w:abstractNum w:abstractNumId="4" w15:restartNumberingAfterBreak="0">
    <w:nsid w:val="58F56CB4"/>
    <w:multiLevelType w:val="hybridMultilevel"/>
    <w:tmpl w:val="074C3FFC"/>
    <w:lvl w:ilvl="0" w:tplc="10969360">
      <w:start w:val="1"/>
      <w:numFmt w:val="bullet"/>
      <w:lvlText w:val=""/>
      <w:lvlJc w:val="left"/>
      <w:pPr>
        <w:ind w:left="720" w:hanging="360"/>
      </w:pPr>
      <w:rPr>
        <w:rFonts w:ascii="Symbol" w:hAnsi="Symbol" w:hint="default"/>
      </w:rPr>
    </w:lvl>
    <w:lvl w:ilvl="1" w:tplc="31BAF214">
      <w:start w:val="1"/>
      <w:numFmt w:val="bullet"/>
      <w:lvlText w:val="o"/>
      <w:lvlJc w:val="left"/>
      <w:pPr>
        <w:ind w:left="1440" w:hanging="360"/>
      </w:pPr>
      <w:rPr>
        <w:rFonts w:ascii="Courier New" w:hAnsi="Courier New" w:hint="default"/>
      </w:rPr>
    </w:lvl>
    <w:lvl w:ilvl="2" w:tplc="A5DA0610">
      <w:start w:val="1"/>
      <w:numFmt w:val="bullet"/>
      <w:lvlText w:val=""/>
      <w:lvlJc w:val="left"/>
      <w:pPr>
        <w:ind w:left="2160" w:hanging="360"/>
      </w:pPr>
      <w:rPr>
        <w:rFonts w:ascii="Wingdings" w:hAnsi="Wingdings" w:hint="default"/>
      </w:rPr>
    </w:lvl>
    <w:lvl w:ilvl="3" w:tplc="F35498CE">
      <w:start w:val="1"/>
      <w:numFmt w:val="bullet"/>
      <w:lvlText w:val=""/>
      <w:lvlJc w:val="left"/>
      <w:pPr>
        <w:ind w:left="2880" w:hanging="360"/>
      </w:pPr>
      <w:rPr>
        <w:rFonts w:ascii="Symbol" w:hAnsi="Symbol" w:hint="default"/>
      </w:rPr>
    </w:lvl>
    <w:lvl w:ilvl="4" w:tplc="AC1AE79E">
      <w:start w:val="1"/>
      <w:numFmt w:val="bullet"/>
      <w:lvlText w:val="o"/>
      <w:lvlJc w:val="left"/>
      <w:pPr>
        <w:ind w:left="3600" w:hanging="360"/>
      </w:pPr>
      <w:rPr>
        <w:rFonts w:ascii="Courier New" w:hAnsi="Courier New" w:hint="default"/>
      </w:rPr>
    </w:lvl>
    <w:lvl w:ilvl="5" w:tplc="185A85AE">
      <w:start w:val="1"/>
      <w:numFmt w:val="bullet"/>
      <w:lvlText w:val=""/>
      <w:lvlJc w:val="left"/>
      <w:pPr>
        <w:ind w:left="4320" w:hanging="360"/>
      </w:pPr>
      <w:rPr>
        <w:rFonts w:ascii="Wingdings" w:hAnsi="Wingdings" w:hint="default"/>
      </w:rPr>
    </w:lvl>
    <w:lvl w:ilvl="6" w:tplc="079A0EEC">
      <w:start w:val="1"/>
      <w:numFmt w:val="bullet"/>
      <w:lvlText w:val=""/>
      <w:lvlJc w:val="left"/>
      <w:pPr>
        <w:ind w:left="5040" w:hanging="360"/>
      </w:pPr>
      <w:rPr>
        <w:rFonts w:ascii="Symbol" w:hAnsi="Symbol" w:hint="default"/>
      </w:rPr>
    </w:lvl>
    <w:lvl w:ilvl="7" w:tplc="E266190C">
      <w:start w:val="1"/>
      <w:numFmt w:val="bullet"/>
      <w:lvlText w:val="o"/>
      <w:lvlJc w:val="left"/>
      <w:pPr>
        <w:ind w:left="5760" w:hanging="360"/>
      </w:pPr>
      <w:rPr>
        <w:rFonts w:ascii="Courier New" w:hAnsi="Courier New" w:hint="default"/>
      </w:rPr>
    </w:lvl>
    <w:lvl w:ilvl="8" w:tplc="49B07652">
      <w:start w:val="1"/>
      <w:numFmt w:val="bullet"/>
      <w:lvlText w:val=""/>
      <w:lvlJc w:val="left"/>
      <w:pPr>
        <w:ind w:left="6480" w:hanging="360"/>
      </w:pPr>
      <w:rPr>
        <w:rFonts w:ascii="Wingdings" w:hAnsi="Wingdings" w:hint="default"/>
      </w:rPr>
    </w:lvl>
  </w:abstractNum>
  <w:abstractNum w:abstractNumId="5" w15:restartNumberingAfterBreak="0">
    <w:nsid w:val="5E3A2D28"/>
    <w:multiLevelType w:val="hybridMultilevel"/>
    <w:tmpl w:val="49F0E282"/>
    <w:lvl w:ilvl="0" w:tplc="549C4F0E">
      <w:start w:val="1"/>
      <w:numFmt w:val="bullet"/>
      <w:lvlText w:val=""/>
      <w:lvlJc w:val="left"/>
      <w:pPr>
        <w:ind w:left="720" w:hanging="360"/>
      </w:pPr>
      <w:rPr>
        <w:rFonts w:ascii="Symbol" w:hAnsi="Symbol" w:hint="default"/>
      </w:rPr>
    </w:lvl>
    <w:lvl w:ilvl="1" w:tplc="45207256">
      <w:start w:val="1"/>
      <w:numFmt w:val="bullet"/>
      <w:lvlText w:val="o"/>
      <w:lvlJc w:val="left"/>
      <w:pPr>
        <w:ind w:left="1440" w:hanging="360"/>
      </w:pPr>
      <w:rPr>
        <w:rFonts w:ascii="Courier New" w:hAnsi="Courier New" w:hint="default"/>
      </w:rPr>
    </w:lvl>
    <w:lvl w:ilvl="2" w:tplc="E3F0EDDE">
      <w:start w:val="1"/>
      <w:numFmt w:val="bullet"/>
      <w:lvlText w:val=""/>
      <w:lvlJc w:val="left"/>
      <w:pPr>
        <w:ind w:left="2160" w:hanging="360"/>
      </w:pPr>
      <w:rPr>
        <w:rFonts w:ascii="Wingdings" w:hAnsi="Wingdings" w:hint="default"/>
      </w:rPr>
    </w:lvl>
    <w:lvl w:ilvl="3" w:tplc="108884D4">
      <w:start w:val="1"/>
      <w:numFmt w:val="bullet"/>
      <w:lvlText w:val=""/>
      <w:lvlJc w:val="left"/>
      <w:pPr>
        <w:ind w:left="2880" w:hanging="360"/>
      </w:pPr>
      <w:rPr>
        <w:rFonts w:ascii="Symbol" w:hAnsi="Symbol" w:hint="default"/>
      </w:rPr>
    </w:lvl>
    <w:lvl w:ilvl="4" w:tplc="30D0F610">
      <w:start w:val="1"/>
      <w:numFmt w:val="bullet"/>
      <w:lvlText w:val="o"/>
      <w:lvlJc w:val="left"/>
      <w:pPr>
        <w:ind w:left="3600" w:hanging="360"/>
      </w:pPr>
      <w:rPr>
        <w:rFonts w:ascii="Courier New" w:hAnsi="Courier New" w:hint="default"/>
      </w:rPr>
    </w:lvl>
    <w:lvl w:ilvl="5" w:tplc="6EDA3C90">
      <w:start w:val="1"/>
      <w:numFmt w:val="bullet"/>
      <w:lvlText w:val=""/>
      <w:lvlJc w:val="left"/>
      <w:pPr>
        <w:ind w:left="4320" w:hanging="360"/>
      </w:pPr>
      <w:rPr>
        <w:rFonts w:ascii="Wingdings" w:hAnsi="Wingdings" w:hint="default"/>
      </w:rPr>
    </w:lvl>
    <w:lvl w:ilvl="6" w:tplc="E40AD79E">
      <w:start w:val="1"/>
      <w:numFmt w:val="bullet"/>
      <w:lvlText w:val=""/>
      <w:lvlJc w:val="left"/>
      <w:pPr>
        <w:ind w:left="5040" w:hanging="360"/>
      </w:pPr>
      <w:rPr>
        <w:rFonts w:ascii="Symbol" w:hAnsi="Symbol" w:hint="default"/>
      </w:rPr>
    </w:lvl>
    <w:lvl w:ilvl="7" w:tplc="714A99EE">
      <w:start w:val="1"/>
      <w:numFmt w:val="bullet"/>
      <w:lvlText w:val="o"/>
      <w:lvlJc w:val="left"/>
      <w:pPr>
        <w:ind w:left="5760" w:hanging="360"/>
      </w:pPr>
      <w:rPr>
        <w:rFonts w:ascii="Courier New" w:hAnsi="Courier New" w:hint="default"/>
      </w:rPr>
    </w:lvl>
    <w:lvl w:ilvl="8" w:tplc="B8B8F3D4">
      <w:start w:val="1"/>
      <w:numFmt w:val="bullet"/>
      <w:lvlText w:val=""/>
      <w:lvlJc w:val="left"/>
      <w:pPr>
        <w:ind w:left="6480" w:hanging="360"/>
      </w:pPr>
      <w:rPr>
        <w:rFonts w:ascii="Wingdings" w:hAnsi="Wingdings" w:hint="default"/>
      </w:rPr>
    </w:lvl>
  </w:abstractNum>
  <w:abstractNum w:abstractNumId="6" w15:restartNumberingAfterBreak="0">
    <w:nsid w:val="735F4246"/>
    <w:multiLevelType w:val="hybridMultilevel"/>
    <w:tmpl w:val="783AEDB2"/>
    <w:lvl w:ilvl="0" w:tplc="7F9862CC">
      <w:start w:val="1"/>
      <w:numFmt w:val="bullet"/>
      <w:lvlText w:val=""/>
      <w:lvlJc w:val="left"/>
      <w:pPr>
        <w:ind w:left="720" w:hanging="360"/>
      </w:pPr>
      <w:rPr>
        <w:rFonts w:ascii="Symbol" w:hAnsi="Symbol" w:hint="default"/>
      </w:rPr>
    </w:lvl>
    <w:lvl w:ilvl="1" w:tplc="95D0F280">
      <w:start w:val="1"/>
      <w:numFmt w:val="bullet"/>
      <w:lvlText w:val="o"/>
      <w:lvlJc w:val="left"/>
      <w:pPr>
        <w:ind w:left="1440" w:hanging="360"/>
      </w:pPr>
      <w:rPr>
        <w:rFonts w:ascii="Courier New" w:hAnsi="Courier New" w:hint="default"/>
      </w:rPr>
    </w:lvl>
    <w:lvl w:ilvl="2" w:tplc="9D1262C4">
      <w:start w:val="1"/>
      <w:numFmt w:val="bullet"/>
      <w:lvlText w:val=""/>
      <w:lvlJc w:val="left"/>
      <w:pPr>
        <w:ind w:left="2160" w:hanging="360"/>
      </w:pPr>
      <w:rPr>
        <w:rFonts w:ascii="Wingdings" w:hAnsi="Wingdings" w:hint="default"/>
      </w:rPr>
    </w:lvl>
    <w:lvl w:ilvl="3" w:tplc="7F8CBF04">
      <w:start w:val="1"/>
      <w:numFmt w:val="bullet"/>
      <w:lvlText w:val=""/>
      <w:lvlJc w:val="left"/>
      <w:pPr>
        <w:ind w:left="2880" w:hanging="360"/>
      </w:pPr>
      <w:rPr>
        <w:rFonts w:ascii="Symbol" w:hAnsi="Symbol" w:hint="default"/>
      </w:rPr>
    </w:lvl>
    <w:lvl w:ilvl="4" w:tplc="895E6556">
      <w:start w:val="1"/>
      <w:numFmt w:val="bullet"/>
      <w:lvlText w:val="o"/>
      <w:lvlJc w:val="left"/>
      <w:pPr>
        <w:ind w:left="3600" w:hanging="360"/>
      </w:pPr>
      <w:rPr>
        <w:rFonts w:ascii="Courier New" w:hAnsi="Courier New" w:hint="default"/>
      </w:rPr>
    </w:lvl>
    <w:lvl w:ilvl="5" w:tplc="0A804298">
      <w:start w:val="1"/>
      <w:numFmt w:val="bullet"/>
      <w:lvlText w:val=""/>
      <w:lvlJc w:val="left"/>
      <w:pPr>
        <w:ind w:left="4320" w:hanging="360"/>
      </w:pPr>
      <w:rPr>
        <w:rFonts w:ascii="Wingdings" w:hAnsi="Wingdings" w:hint="default"/>
      </w:rPr>
    </w:lvl>
    <w:lvl w:ilvl="6" w:tplc="1ECE4BFE">
      <w:start w:val="1"/>
      <w:numFmt w:val="bullet"/>
      <w:lvlText w:val=""/>
      <w:lvlJc w:val="left"/>
      <w:pPr>
        <w:ind w:left="5040" w:hanging="360"/>
      </w:pPr>
      <w:rPr>
        <w:rFonts w:ascii="Symbol" w:hAnsi="Symbol" w:hint="default"/>
      </w:rPr>
    </w:lvl>
    <w:lvl w:ilvl="7" w:tplc="AA82EC3A">
      <w:start w:val="1"/>
      <w:numFmt w:val="bullet"/>
      <w:lvlText w:val="o"/>
      <w:lvlJc w:val="left"/>
      <w:pPr>
        <w:ind w:left="5760" w:hanging="360"/>
      </w:pPr>
      <w:rPr>
        <w:rFonts w:ascii="Courier New" w:hAnsi="Courier New" w:hint="default"/>
      </w:rPr>
    </w:lvl>
    <w:lvl w:ilvl="8" w:tplc="320C48F2">
      <w:start w:val="1"/>
      <w:numFmt w:val="bullet"/>
      <w:lvlText w:val=""/>
      <w:lvlJc w:val="left"/>
      <w:pPr>
        <w:ind w:left="6480" w:hanging="360"/>
      </w:pPr>
      <w:rPr>
        <w:rFonts w:ascii="Wingdings" w:hAnsi="Wingdings" w:hint="default"/>
      </w:rPr>
    </w:lvl>
  </w:abstractNum>
  <w:abstractNum w:abstractNumId="7" w15:restartNumberingAfterBreak="0">
    <w:nsid w:val="73E73DE3"/>
    <w:multiLevelType w:val="hybridMultilevel"/>
    <w:tmpl w:val="B6568F5E"/>
    <w:lvl w:ilvl="0" w:tplc="7E46A5C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4283648">
    <w:abstractNumId w:val="4"/>
  </w:num>
  <w:num w:numId="2" w16cid:durableId="10568080">
    <w:abstractNumId w:val="3"/>
  </w:num>
  <w:num w:numId="3" w16cid:durableId="1563173902">
    <w:abstractNumId w:val="6"/>
  </w:num>
  <w:num w:numId="4" w16cid:durableId="55977609">
    <w:abstractNumId w:val="5"/>
  </w:num>
  <w:num w:numId="5" w16cid:durableId="971985521">
    <w:abstractNumId w:val="2"/>
  </w:num>
  <w:num w:numId="6" w16cid:durableId="1697579393">
    <w:abstractNumId w:val="7"/>
  </w:num>
  <w:num w:numId="7" w16cid:durableId="807091304">
    <w:abstractNumId w:val="1"/>
  </w:num>
  <w:num w:numId="8" w16cid:durableId="1579704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mirrorMargins/>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3MDazMDU0tTAxMjdW0lEKTi0uzszPAykwNKkFANs+syEtAAAA"/>
  </w:docVars>
  <w:rsids>
    <w:rsidRoot w:val="00C55021"/>
    <w:rsid w:val="00024160"/>
    <w:rsid w:val="00033CB1"/>
    <w:rsid w:val="00037A9F"/>
    <w:rsid w:val="000439F4"/>
    <w:rsid w:val="00052D2B"/>
    <w:rsid w:val="00065F8B"/>
    <w:rsid w:val="00072D1A"/>
    <w:rsid w:val="00085CD9"/>
    <w:rsid w:val="00090B23"/>
    <w:rsid w:val="000A0325"/>
    <w:rsid w:val="000A5EAA"/>
    <w:rsid w:val="000C3415"/>
    <w:rsid w:val="000E2BF2"/>
    <w:rsid w:val="000E36B9"/>
    <w:rsid w:val="000E6175"/>
    <w:rsid w:val="00103F3A"/>
    <w:rsid w:val="00143BA4"/>
    <w:rsid w:val="00145FA3"/>
    <w:rsid w:val="00146FA9"/>
    <w:rsid w:val="00163253"/>
    <w:rsid w:val="00171B0A"/>
    <w:rsid w:val="0018220E"/>
    <w:rsid w:val="001A32C4"/>
    <w:rsid w:val="001A3ECC"/>
    <w:rsid w:val="001A6A2A"/>
    <w:rsid w:val="001C1442"/>
    <w:rsid w:val="001D0D2A"/>
    <w:rsid w:val="001F2B0E"/>
    <w:rsid w:val="00203209"/>
    <w:rsid w:val="00220E2F"/>
    <w:rsid w:val="002241EE"/>
    <w:rsid w:val="0023117A"/>
    <w:rsid w:val="002412DF"/>
    <w:rsid w:val="002512FC"/>
    <w:rsid w:val="00266CB4"/>
    <w:rsid w:val="002A7CB3"/>
    <w:rsid w:val="002C26E0"/>
    <w:rsid w:val="002C3642"/>
    <w:rsid w:val="002C4BC1"/>
    <w:rsid w:val="002D60A0"/>
    <w:rsid w:val="002E2F85"/>
    <w:rsid w:val="002E5061"/>
    <w:rsid w:val="00304267"/>
    <w:rsid w:val="00305D14"/>
    <w:rsid w:val="00312951"/>
    <w:rsid w:val="003174BF"/>
    <w:rsid w:val="00336767"/>
    <w:rsid w:val="00337F4A"/>
    <w:rsid w:val="0034708E"/>
    <w:rsid w:val="00351D23"/>
    <w:rsid w:val="003541DB"/>
    <w:rsid w:val="00354577"/>
    <w:rsid w:val="0036144E"/>
    <w:rsid w:val="00363EF7"/>
    <w:rsid w:val="00382318"/>
    <w:rsid w:val="0038688E"/>
    <w:rsid w:val="003A2F5F"/>
    <w:rsid w:val="003D7E40"/>
    <w:rsid w:val="00411407"/>
    <w:rsid w:val="0041224A"/>
    <w:rsid w:val="0044343F"/>
    <w:rsid w:val="004829EA"/>
    <w:rsid w:val="004953A8"/>
    <w:rsid w:val="004D0677"/>
    <w:rsid w:val="004D1992"/>
    <w:rsid w:val="004E23BD"/>
    <w:rsid w:val="004E7659"/>
    <w:rsid w:val="00511CEC"/>
    <w:rsid w:val="0051713A"/>
    <w:rsid w:val="00532246"/>
    <w:rsid w:val="0055327B"/>
    <w:rsid w:val="00563EE7"/>
    <w:rsid w:val="00575ECF"/>
    <w:rsid w:val="00582E69"/>
    <w:rsid w:val="005A1717"/>
    <w:rsid w:val="005A5DA8"/>
    <w:rsid w:val="005C278D"/>
    <w:rsid w:val="005D3B82"/>
    <w:rsid w:val="005D457E"/>
    <w:rsid w:val="005E11A0"/>
    <w:rsid w:val="0062535B"/>
    <w:rsid w:val="00625D8E"/>
    <w:rsid w:val="006278DE"/>
    <w:rsid w:val="006340A1"/>
    <w:rsid w:val="00642B4F"/>
    <w:rsid w:val="00642B68"/>
    <w:rsid w:val="00643906"/>
    <w:rsid w:val="006456F4"/>
    <w:rsid w:val="00647581"/>
    <w:rsid w:val="00655990"/>
    <w:rsid w:val="006754A2"/>
    <w:rsid w:val="0068272C"/>
    <w:rsid w:val="00683484"/>
    <w:rsid w:val="00683864"/>
    <w:rsid w:val="00687F9F"/>
    <w:rsid w:val="006967A9"/>
    <w:rsid w:val="006B1BA5"/>
    <w:rsid w:val="006B77D5"/>
    <w:rsid w:val="006D18E4"/>
    <w:rsid w:val="006D7B86"/>
    <w:rsid w:val="006E03D6"/>
    <w:rsid w:val="006E6D3F"/>
    <w:rsid w:val="00710122"/>
    <w:rsid w:val="007520C4"/>
    <w:rsid w:val="00753BE7"/>
    <w:rsid w:val="0075608B"/>
    <w:rsid w:val="00764E0F"/>
    <w:rsid w:val="007712D9"/>
    <w:rsid w:val="007770CA"/>
    <w:rsid w:val="00793BC6"/>
    <w:rsid w:val="00795FD8"/>
    <w:rsid w:val="007A37DD"/>
    <w:rsid w:val="007A5CE8"/>
    <w:rsid w:val="007B072B"/>
    <w:rsid w:val="007B5E6C"/>
    <w:rsid w:val="007B7D68"/>
    <w:rsid w:val="007D7CC8"/>
    <w:rsid w:val="007F621E"/>
    <w:rsid w:val="008012F2"/>
    <w:rsid w:val="008047BA"/>
    <w:rsid w:val="00825F54"/>
    <w:rsid w:val="00850C86"/>
    <w:rsid w:val="0085186C"/>
    <w:rsid w:val="008C19B8"/>
    <w:rsid w:val="008D122F"/>
    <w:rsid w:val="008D4248"/>
    <w:rsid w:val="008D5D8E"/>
    <w:rsid w:val="008E360F"/>
    <w:rsid w:val="008E678A"/>
    <w:rsid w:val="009070F5"/>
    <w:rsid w:val="00916749"/>
    <w:rsid w:val="0093046D"/>
    <w:rsid w:val="009309B7"/>
    <w:rsid w:val="00944925"/>
    <w:rsid w:val="009462B5"/>
    <w:rsid w:val="009911ED"/>
    <w:rsid w:val="009B31B3"/>
    <w:rsid w:val="009B7C48"/>
    <w:rsid w:val="009F4904"/>
    <w:rsid w:val="009F5E04"/>
    <w:rsid w:val="00A14BCF"/>
    <w:rsid w:val="00A22C6B"/>
    <w:rsid w:val="00A24233"/>
    <w:rsid w:val="00A4577B"/>
    <w:rsid w:val="00A57856"/>
    <w:rsid w:val="00A677A5"/>
    <w:rsid w:val="00A95AF3"/>
    <w:rsid w:val="00AA32DE"/>
    <w:rsid w:val="00AA36C5"/>
    <w:rsid w:val="00B4590D"/>
    <w:rsid w:val="00B53DE5"/>
    <w:rsid w:val="00B54B95"/>
    <w:rsid w:val="00B80FD0"/>
    <w:rsid w:val="00B81C6C"/>
    <w:rsid w:val="00B82589"/>
    <w:rsid w:val="00B87977"/>
    <w:rsid w:val="00B9348D"/>
    <w:rsid w:val="00BA658C"/>
    <w:rsid w:val="00BC2993"/>
    <w:rsid w:val="00BC2C89"/>
    <w:rsid w:val="00C3152F"/>
    <w:rsid w:val="00C43945"/>
    <w:rsid w:val="00C55021"/>
    <w:rsid w:val="00C72106"/>
    <w:rsid w:val="00C94E22"/>
    <w:rsid w:val="00CB2A38"/>
    <w:rsid w:val="00CD3E5A"/>
    <w:rsid w:val="00CE756D"/>
    <w:rsid w:val="00D3642F"/>
    <w:rsid w:val="00D42F3E"/>
    <w:rsid w:val="00D447A1"/>
    <w:rsid w:val="00D7542F"/>
    <w:rsid w:val="00D81F51"/>
    <w:rsid w:val="00D90F03"/>
    <w:rsid w:val="00DB7C33"/>
    <w:rsid w:val="00DC4C38"/>
    <w:rsid w:val="00DD0FBE"/>
    <w:rsid w:val="00DF0D06"/>
    <w:rsid w:val="00DF1548"/>
    <w:rsid w:val="00DF2E2A"/>
    <w:rsid w:val="00E005B8"/>
    <w:rsid w:val="00E1178C"/>
    <w:rsid w:val="00E144C3"/>
    <w:rsid w:val="00E170D4"/>
    <w:rsid w:val="00E17D20"/>
    <w:rsid w:val="00E26B0B"/>
    <w:rsid w:val="00E30350"/>
    <w:rsid w:val="00E36BAE"/>
    <w:rsid w:val="00E63AE8"/>
    <w:rsid w:val="00E64554"/>
    <w:rsid w:val="00E6547F"/>
    <w:rsid w:val="00E73FB8"/>
    <w:rsid w:val="00EA589D"/>
    <w:rsid w:val="00EB488A"/>
    <w:rsid w:val="00EE7EA8"/>
    <w:rsid w:val="00F0399D"/>
    <w:rsid w:val="00F21529"/>
    <w:rsid w:val="00F2344B"/>
    <w:rsid w:val="00F355EA"/>
    <w:rsid w:val="00F36DC0"/>
    <w:rsid w:val="00F3738D"/>
    <w:rsid w:val="00F4038F"/>
    <w:rsid w:val="00F72078"/>
    <w:rsid w:val="00F9062A"/>
    <w:rsid w:val="00F97258"/>
    <w:rsid w:val="00FD3E1D"/>
    <w:rsid w:val="00FE02DA"/>
    <w:rsid w:val="00FE109A"/>
    <w:rsid w:val="00FE5779"/>
    <w:rsid w:val="00FF5DA5"/>
    <w:rsid w:val="0438EAA6"/>
    <w:rsid w:val="06310765"/>
    <w:rsid w:val="0C42BF3F"/>
    <w:rsid w:val="1B745576"/>
    <w:rsid w:val="1CAB60DD"/>
    <w:rsid w:val="235DF6B6"/>
    <w:rsid w:val="2744735C"/>
    <w:rsid w:val="32A7258D"/>
    <w:rsid w:val="33A319FE"/>
    <w:rsid w:val="3992458D"/>
    <w:rsid w:val="4EEBA680"/>
    <w:rsid w:val="57A38557"/>
    <w:rsid w:val="6246FF9C"/>
    <w:rsid w:val="64E0AC76"/>
    <w:rsid w:val="6589FB0C"/>
    <w:rsid w:val="671697B5"/>
    <w:rsid w:val="6BE161BA"/>
    <w:rsid w:val="7BA42BCB"/>
    <w:rsid w:val="7DE10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1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SimSun" w:hAnsi="Verdana" w:cs="Mangal"/>
        <w:kern w:val="2"/>
        <w:sz w:val="24"/>
        <w:szCs w:val="24"/>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faseforte">
    <w:name w:val="Ênfase forte"/>
    <w:qFormat/>
    <w:rPr>
      <w:b/>
      <w:bCs/>
    </w:rPr>
  </w:style>
  <w:style w:type="paragraph" w:styleId="Ttulo">
    <w:name w:val="Title"/>
    <w:basedOn w:val="Normal"/>
    <w:next w:val="Textoindependiente"/>
    <w:qFormat/>
    <w:pPr>
      <w:keepNext/>
      <w:spacing w:before="240" w:after="120"/>
    </w:pPr>
    <w:rPr>
      <w:rFonts w:eastAsia="Microsoft YaHei"/>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styleId="Textonotapie">
    <w:name w:val="footnote text"/>
    <w:basedOn w:val="Normal"/>
    <w:link w:val="TextonotapieCar"/>
    <w:uiPriority w:val="99"/>
    <w:semiHidden/>
    <w:unhideWhenUsed/>
    <w:rsid w:val="000E2BF2"/>
    <w:rPr>
      <w:sz w:val="20"/>
      <w:szCs w:val="18"/>
    </w:rPr>
  </w:style>
  <w:style w:type="character" w:customStyle="1" w:styleId="TextonotapieCar">
    <w:name w:val="Texto nota pie Car"/>
    <w:basedOn w:val="Fuentedeprrafopredeter"/>
    <w:link w:val="Textonotapie"/>
    <w:uiPriority w:val="99"/>
    <w:semiHidden/>
    <w:rsid w:val="000E2BF2"/>
    <w:rPr>
      <w:sz w:val="20"/>
      <w:szCs w:val="18"/>
    </w:rPr>
  </w:style>
  <w:style w:type="character" w:styleId="Refdenotaalpie">
    <w:name w:val="footnote reference"/>
    <w:basedOn w:val="Fuentedeprrafopredeter"/>
    <w:unhideWhenUsed/>
    <w:rsid w:val="000E2BF2"/>
    <w:rPr>
      <w:vertAlign w:val="superscript"/>
    </w:rPr>
  </w:style>
  <w:style w:type="character" w:customStyle="1" w:styleId="highlight">
    <w:name w:val="highlight"/>
    <w:basedOn w:val="Fuentedeprrafopredeter"/>
    <w:rsid w:val="00A24233"/>
  </w:style>
  <w:style w:type="character" w:styleId="Refdecomentario">
    <w:name w:val="annotation reference"/>
    <w:basedOn w:val="Fuentedeprrafopredeter"/>
    <w:uiPriority w:val="99"/>
    <w:semiHidden/>
    <w:unhideWhenUsed/>
    <w:rsid w:val="00037A9F"/>
    <w:rPr>
      <w:sz w:val="16"/>
      <w:szCs w:val="16"/>
    </w:rPr>
  </w:style>
  <w:style w:type="paragraph" w:styleId="Textocomentario">
    <w:name w:val="annotation text"/>
    <w:basedOn w:val="Normal"/>
    <w:link w:val="TextocomentarioCar"/>
    <w:uiPriority w:val="99"/>
    <w:unhideWhenUsed/>
    <w:rsid w:val="00037A9F"/>
    <w:rPr>
      <w:sz w:val="20"/>
      <w:szCs w:val="18"/>
    </w:rPr>
  </w:style>
  <w:style w:type="character" w:customStyle="1" w:styleId="TextocomentarioCar">
    <w:name w:val="Texto comentario Car"/>
    <w:basedOn w:val="Fuentedeprrafopredeter"/>
    <w:link w:val="Textocomentario"/>
    <w:uiPriority w:val="99"/>
    <w:rsid w:val="00037A9F"/>
    <w:rPr>
      <w:sz w:val="20"/>
      <w:szCs w:val="18"/>
    </w:rPr>
  </w:style>
  <w:style w:type="paragraph" w:styleId="Asuntodelcomentario">
    <w:name w:val="annotation subject"/>
    <w:basedOn w:val="Textocomentario"/>
    <w:next w:val="Textocomentario"/>
    <w:link w:val="AsuntodelcomentarioCar"/>
    <w:uiPriority w:val="99"/>
    <w:semiHidden/>
    <w:unhideWhenUsed/>
    <w:rsid w:val="00037A9F"/>
    <w:rPr>
      <w:b/>
      <w:bCs/>
    </w:rPr>
  </w:style>
  <w:style w:type="character" w:customStyle="1" w:styleId="AsuntodelcomentarioCar">
    <w:name w:val="Asunto del comentario Car"/>
    <w:basedOn w:val="TextocomentarioCar"/>
    <w:link w:val="Asuntodelcomentario"/>
    <w:uiPriority w:val="99"/>
    <w:semiHidden/>
    <w:rsid w:val="00037A9F"/>
    <w:rPr>
      <w:b/>
      <w:bCs/>
      <w:sz w:val="20"/>
      <w:szCs w:val="18"/>
    </w:rPr>
  </w:style>
  <w:style w:type="paragraph" w:styleId="Textodeglobo">
    <w:name w:val="Balloon Text"/>
    <w:basedOn w:val="Normal"/>
    <w:link w:val="TextodegloboCar"/>
    <w:uiPriority w:val="99"/>
    <w:semiHidden/>
    <w:unhideWhenUsed/>
    <w:rsid w:val="00037A9F"/>
    <w:rPr>
      <w:rFonts w:ascii="Segoe UI" w:hAnsi="Segoe UI"/>
      <w:sz w:val="18"/>
      <w:szCs w:val="16"/>
    </w:rPr>
  </w:style>
  <w:style w:type="character" w:customStyle="1" w:styleId="TextodegloboCar">
    <w:name w:val="Texto de globo Car"/>
    <w:basedOn w:val="Fuentedeprrafopredeter"/>
    <w:link w:val="Textodeglobo"/>
    <w:uiPriority w:val="99"/>
    <w:semiHidden/>
    <w:rsid w:val="00037A9F"/>
    <w:rPr>
      <w:rFonts w:ascii="Segoe UI" w:hAnsi="Segoe UI"/>
      <w:sz w:val="18"/>
      <w:szCs w:val="16"/>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cinsinresolver1">
    <w:name w:val="Mención sin resolver1"/>
    <w:basedOn w:val="Fuentedeprrafopredeter"/>
    <w:uiPriority w:val="99"/>
    <w:semiHidden/>
    <w:unhideWhenUsed/>
    <w:rsid w:val="00D3642F"/>
    <w:rPr>
      <w:color w:val="605E5C"/>
      <w:shd w:val="clear" w:color="auto" w:fill="E1DFDD"/>
    </w:rPr>
  </w:style>
  <w:style w:type="character" w:customStyle="1" w:styleId="normaltextrun">
    <w:name w:val="normaltextrun"/>
    <w:basedOn w:val="Fuentedeprrafopredeter"/>
    <w:rsid w:val="00BA658C"/>
  </w:style>
  <w:style w:type="character" w:customStyle="1" w:styleId="spellingerror">
    <w:name w:val="spellingerror"/>
    <w:basedOn w:val="Fuentedeprrafopredeter"/>
    <w:rsid w:val="00BA658C"/>
  </w:style>
  <w:style w:type="paragraph" w:styleId="Encabezado">
    <w:name w:val="header"/>
    <w:basedOn w:val="Normal"/>
    <w:link w:val="EncabezadoCar"/>
    <w:uiPriority w:val="99"/>
    <w:unhideWhenUsed/>
    <w:rsid w:val="007F621E"/>
    <w:pPr>
      <w:tabs>
        <w:tab w:val="center" w:pos="4513"/>
        <w:tab w:val="right" w:pos="9026"/>
      </w:tabs>
    </w:pPr>
    <w:rPr>
      <w:szCs w:val="21"/>
    </w:rPr>
  </w:style>
  <w:style w:type="character" w:customStyle="1" w:styleId="EncabezadoCar">
    <w:name w:val="Encabezado Car"/>
    <w:basedOn w:val="Fuentedeprrafopredeter"/>
    <w:link w:val="Encabezado"/>
    <w:uiPriority w:val="99"/>
    <w:rsid w:val="007F621E"/>
    <w:rPr>
      <w:szCs w:val="21"/>
    </w:rPr>
  </w:style>
  <w:style w:type="paragraph" w:styleId="Piedepgina">
    <w:name w:val="footer"/>
    <w:basedOn w:val="Normal"/>
    <w:link w:val="PiedepginaCar"/>
    <w:uiPriority w:val="99"/>
    <w:unhideWhenUsed/>
    <w:rsid w:val="007F621E"/>
    <w:pPr>
      <w:tabs>
        <w:tab w:val="center" w:pos="4513"/>
        <w:tab w:val="right" w:pos="9026"/>
      </w:tabs>
    </w:pPr>
    <w:rPr>
      <w:szCs w:val="21"/>
    </w:rPr>
  </w:style>
  <w:style w:type="character" w:customStyle="1" w:styleId="PiedepginaCar">
    <w:name w:val="Pie de página Car"/>
    <w:basedOn w:val="Fuentedeprrafopredeter"/>
    <w:link w:val="Piedepgina"/>
    <w:uiPriority w:val="99"/>
    <w:rsid w:val="007F621E"/>
    <w:rPr>
      <w:szCs w:val="21"/>
    </w:rPr>
  </w:style>
  <w:style w:type="paragraph" w:customStyle="1" w:styleId="paragraph">
    <w:name w:val="paragraph"/>
    <w:basedOn w:val="Normal"/>
    <w:rsid w:val="00D42F3E"/>
    <w:pPr>
      <w:spacing w:before="100" w:beforeAutospacing="1" w:after="100" w:afterAutospacing="1"/>
    </w:pPr>
    <w:rPr>
      <w:rFonts w:ascii="Times New Roman" w:eastAsia="Times New Roman" w:hAnsi="Times New Roman" w:cs="Times New Roman"/>
      <w:kern w:val="0"/>
      <w:lang w:eastAsia="en-GB" w:bidi="ar-SA"/>
    </w:rPr>
  </w:style>
  <w:style w:type="character" w:customStyle="1" w:styleId="eop">
    <w:name w:val="eop"/>
    <w:basedOn w:val="Fuentedeprrafopredeter"/>
    <w:rsid w:val="00D42F3E"/>
  </w:style>
  <w:style w:type="paragraph" w:customStyle="1" w:styleId="local">
    <w:name w:val="local"/>
    <w:basedOn w:val="Normal"/>
    <w:uiPriority w:val="3"/>
    <w:rsid w:val="00C72106"/>
    <w:pPr>
      <w:spacing w:after="120"/>
      <w:jc w:val="center"/>
    </w:pPr>
    <w:rPr>
      <w:rFonts w:ascii="Arial" w:eastAsia="Times New Roman" w:hAnsi="Arial" w:cs="Times New Roman"/>
      <w:kern w:val="0"/>
      <w:sz w:val="28"/>
      <w:szCs w:val="20"/>
      <w:lang w:eastAsia="en-GB" w:bidi="ar-SA"/>
    </w:rPr>
  </w:style>
  <w:style w:type="character" w:styleId="Mencinsinresolver">
    <w:name w:val="Unresolved Mention"/>
    <w:basedOn w:val="Fuentedeprrafopredeter"/>
    <w:uiPriority w:val="99"/>
    <w:semiHidden/>
    <w:unhideWhenUsed/>
    <w:rsid w:val="00DF0D06"/>
    <w:rPr>
      <w:color w:val="605E5C"/>
      <w:shd w:val="clear" w:color="auto" w:fill="E1DFDD"/>
    </w:rPr>
  </w:style>
  <w:style w:type="character" w:customStyle="1" w:styleId="markedcontent">
    <w:name w:val="markedcontent"/>
    <w:basedOn w:val="Fuentedeprrafopredeter"/>
    <w:rsid w:val="00072D1A"/>
  </w:style>
  <w:style w:type="character" w:customStyle="1" w:styleId="cf01">
    <w:name w:val="cf01"/>
    <w:basedOn w:val="Fuentedeprrafopredeter"/>
    <w:rsid w:val="007B7D68"/>
    <w:rPr>
      <w:rFonts w:ascii="Segoe UI" w:hAnsi="Segoe UI" w:cs="Segoe UI" w:hint="default"/>
      <w:sz w:val="18"/>
      <w:szCs w:val="18"/>
    </w:rPr>
  </w:style>
  <w:style w:type="character" w:customStyle="1" w:styleId="cf11">
    <w:name w:val="cf11"/>
    <w:basedOn w:val="Fuentedeprrafopredeter"/>
    <w:rsid w:val="007B7D68"/>
    <w:rPr>
      <w:rFonts w:ascii="Segoe UI" w:hAnsi="Segoe UI" w:cs="Segoe UI" w:hint="default"/>
      <w:sz w:val="18"/>
      <w:szCs w:val="18"/>
    </w:rPr>
  </w:style>
  <w:style w:type="character" w:customStyle="1" w:styleId="cf21">
    <w:name w:val="cf21"/>
    <w:basedOn w:val="Fuentedeprrafopredeter"/>
    <w:rsid w:val="007B7D68"/>
    <w:rPr>
      <w:rFonts w:ascii="Segoe UI" w:hAnsi="Segoe UI" w:cs="Segoe UI" w:hint="default"/>
      <w:i/>
      <w:iCs/>
      <w:sz w:val="18"/>
      <w:szCs w:val="18"/>
    </w:rPr>
  </w:style>
  <w:style w:type="character" w:customStyle="1" w:styleId="cf31">
    <w:name w:val="cf31"/>
    <w:basedOn w:val="Fuentedeprrafopredeter"/>
    <w:rsid w:val="007B7D6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01873">
      <w:bodyDiv w:val="1"/>
      <w:marLeft w:val="0"/>
      <w:marRight w:val="0"/>
      <w:marTop w:val="0"/>
      <w:marBottom w:val="0"/>
      <w:divBdr>
        <w:top w:val="none" w:sz="0" w:space="0" w:color="auto"/>
        <w:left w:val="none" w:sz="0" w:space="0" w:color="auto"/>
        <w:bottom w:val="none" w:sz="0" w:space="0" w:color="auto"/>
        <w:right w:val="none" w:sz="0" w:space="0" w:color="auto"/>
      </w:divBdr>
      <w:divsChild>
        <w:div w:id="635646999">
          <w:marLeft w:val="0"/>
          <w:marRight w:val="0"/>
          <w:marTop w:val="0"/>
          <w:marBottom w:val="0"/>
          <w:divBdr>
            <w:top w:val="none" w:sz="0" w:space="0" w:color="auto"/>
            <w:left w:val="none" w:sz="0" w:space="0" w:color="auto"/>
            <w:bottom w:val="none" w:sz="0" w:space="0" w:color="auto"/>
            <w:right w:val="none" w:sz="0" w:space="0" w:color="auto"/>
          </w:divBdr>
        </w:div>
        <w:div w:id="1680347601">
          <w:marLeft w:val="0"/>
          <w:marRight w:val="0"/>
          <w:marTop w:val="0"/>
          <w:marBottom w:val="0"/>
          <w:divBdr>
            <w:top w:val="none" w:sz="0" w:space="0" w:color="auto"/>
            <w:left w:val="none" w:sz="0" w:space="0" w:color="auto"/>
            <w:bottom w:val="none" w:sz="0" w:space="0" w:color="auto"/>
            <w:right w:val="none" w:sz="0" w:space="0" w:color="auto"/>
          </w:divBdr>
        </w:div>
        <w:div w:id="473639461">
          <w:marLeft w:val="0"/>
          <w:marRight w:val="0"/>
          <w:marTop w:val="0"/>
          <w:marBottom w:val="0"/>
          <w:divBdr>
            <w:top w:val="none" w:sz="0" w:space="0" w:color="auto"/>
            <w:left w:val="none" w:sz="0" w:space="0" w:color="auto"/>
            <w:bottom w:val="none" w:sz="0" w:space="0" w:color="auto"/>
            <w:right w:val="none" w:sz="0" w:space="0" w:color="auto"/>
          </w:divBdr>
        </w:div>
      </w:divsChild>
    </w:div>
    <w:div w:id="1924103619">
      <w:bodyDiv w:val="1"/>
      <w:marLeft w:val="0"/>
      <w:marRight w:val="0"/>
      <w:marTop w:val="0"/>
      <w:marBottom w:val="0"/>
      <w:divBdr>
        <w:top w:val="none" w:sz="0" w:space="0" w:color="auto"/>
        <w:left w:val="none" w:sz="0" w:space="0" w:color="auto"/>
        <w:bottom w:val="none" w:sz="0" w:space="0" w:color="auto"/>
        <w:right w:val="none" w:sz="0" w:space="0" w:color="auto"/>
      </w:divBdr>
      <w:divsChild>
        <w:div w:id="802624264">
          <w:marLeft w:val="0"/>
          <w:marRight w:val="0"/>
          <w:marTop w:val="0"/>
          <w:marBottom w:val="0"/>
          <w:divBdr>
            <w:top w:val="none" w:sz="0" w:space="0" w:color="auto"/>
            <w:left w:val="none" w:sz="0" w:space="0" w:color="auto"/>
            <w:bottom w:val="none" w:sz="0" w:space="0" w:color="auto"/>
            <w:right w:val="none" w:sz="0" w:space="0" w:color="auto"/>
          </w:divBdr>
        </w:div>
        <w:div w:id="346254389">
          <w:marLeft w:val="0"/>
          <w:marRight w:val="0"/>
          <w:marTop w:val="0"/>
          <w:marBottom w:val="0"/>
          <w:divBdr>
            <w:top w:val="none" w:sz="0" w:space="0" w:color="auto"/>
            <w:left w:val="none" w:sz="0" w:space="0" w:color="auto"/>
            <w:bottom w:val="none" w:sz="0" w:space="0" w:color="auto"/>
            <w:right w:val="none" w:sz="0" w:space="0" w:color="auto"/>
          </w:divBdr>
        </w:div>
        <w:div w:id="1654488547">
          <w:marLeft w:val="0"/>
          <w:marRight w:val="0"/>
          <w:marTop w:val="0"/>
          <w:marBottom w:val="0"/>
          <w:divBdr>
            <w:top w:val="none" w:sz="0" w:space="0" w:color="auto"/>
            <w:left w:val="none" w:sz="0" w:space="0" w:color="auto"/>
            <w:bottom w:val="none" w:sz="0" w:space="0" w:color="auto"/>
            <w:right w:val="none" w:sz="0" w:space="0" w:color="auto"/>
          </w:divBdr>
        </w:div>
        <w:div w:id="431751341">
          <w:marLeft w:val="0"/>
          <w:marRight w:val="0"/>
          <w:marTop w:val="0"/>
          <w:marBottom w:val="0"/>
          <w:divBdr>
            <w:top w:val="none" w:sz="0" w:space="0" w:color="auto"/>
            <w:left w:val="none" w:sz="0" w:space="0" w:color="auto"/>
            <w:bottom w:val="none" w:sz="0" w:space="0" w:color="auto"/>
            <w:right w:val="none" w:sz="0" w:space="0" w:color="auto"/>
          </w:divBdr>
        </w:div>
        <w:div w:id="78841972">
          <w:marLeft w:val="0"/>
          <w:marRight w:val="0"/>
          <w:marTop w:val="0"/>
          <w:marBottom w:val="0"/>
          <w:divBdr>
            <w:top w:val="none" w:sz="0" w:space="0" w:color="auto"/>
            <w:left w:val="none" w:sz="0" w:space="0" w:color="auto"/>
            <w:bottom w:val="none" w:sz="0" w:space="0" w:color="auto"/>
            <w:right w:val="none" w:sz="0" w:space="0" w:color="auto"/>
          </w:divBdr>
        </w:div>
        <w:div w:id="1119490703">
          <w:marLeft w:val="0"/>
          <w:marRight w:val="0"/>
          <w:marTop w:val="0"/>
          <w:marBottom w:val="0"/>
          <w:divBdr>
            <w:top w:val="none" w:sz="0" w:space="0" w:color="auto"/>
            <w:left w:val="none" w:sz="0" w:space="0" w:color="auto"/>
            <w:bottom w:val="none" w:sz="0" w:space="0" w:color="auto"/>
            <w:right w:val="none" w:sz="0" w:space="0" w:color="auto"/>
          </w:divBdr>
        </w:div>
        <w:div w:id="1971007220">
          <w:marLeft w:val="0"/>
          <w:marRight w:val="0"/>
          <w:marTop w:val="0"/>
          <w:marBottom w:val="0"/>
          <w:divBdr>
            <w:top w:val="none" w:sz="0" w:space="0" w:color="auto"/>
            <w:left w:val="none" w:sz="0" w:space="0" w:color="auto"/>
            <w:bottom w:val="none" w:sz="0" w:space="0" w:color="auto"/>
            <w:right w:val="none" w:sz="0" w:space="0" w:color="auto"/>
          </w:divBdr>
        </w:div>
        <w:div w:id="1368675302">
          <w:marLeft w:val="0"/>
          <w:marRight w:val="0"/>
          <w:marTop w:val="0"/>
          <w:marBottom w:val="0"/>
          <w:divBdr>
            <w:top w:val="none" w:sz="0" w:space="0" w:color="auto"/>
            <w:left w:val="none" w:sz="0" w:space="0" w:color="auto"/>
            <w:bottom w:val="none" w:sz="0" w:space="0" w:color="auto"/>
            <w:right w:val="none" w:sz="0" w:space="0" w:color="auto"/>
          </w:divBdr>
        </w:div>
        <w:div w:id="960040736">
          <w:marLeft w:val="0"/>
          <w:marRight w:val="0"/>
          <w:marTop w:val="0"/>
          <w:marBottom w:val="0"/>
          <w:divBdr>
            <w:top w:val="none" w:sz="0" w:space="0" w:color="auto"/>
            <w:left w:val="none" w:sz="0" w:space="0" w:color="auto"/>
            <w:bottom w:val="none" w:sz="0" w:space="0" w:color="auto"/>
            <w:right w:val="none" w:sz="0" w:space="0" w:color="auto"/>
          </w:divBdr>
        </w:div>
        <w:div w:id="9603033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9333/ejmste/995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002/sce.20466"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periodicos.ulbra.br/index.php/acta/about/submissions#copyrightNotice" TargetMode="External"/><Relationship Id="rId2" Type="http://schemas.openxmlformats.org/officeDocument/2006/relationships/image" Target="media/image11.jpeg"/><Relationship Id="rId1" Type="http://schemas.openxmlformats.org/officeDocument/2006/relationships/hyperlink" Target="http://www.periodicos.ulbra.br/index.php/acta/" TargetMode="External"/><Relationship Id="rId4"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1064A-2F07-4EEA-8B80-61F95EA3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11108</Words>
  <Characters>61099</Characters>
  <Application>Microsoft Office Word</Application>
  <DocSecurity>0</DocSecurity>
  <Lines>509</Lines>
  <Paragraphs>144</Paragraphs>
  <ScaleCrop>false</ScaleCrop>
  <Company/>
  <LinksUpToDate>false</LinksUpToDate>
  <CharactersWithSpaces>72063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2022-06-28T18:21:00Z</dcterms:created>
  <dcterms:modified xsi:type="dcterms:W3CDTF">2022-06-28T18:21:00Z</dcterms:modified>
  <dc:language/>
</cp:coreProperties>
</file>