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custom.xml" ContentType="application/vnd.openxmlformats-officedocument.custom-properties+xml"/>
  <Override PartName="/word/commentsDocument.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commentsExtendedDocument.xml" ContentType="application/vnd.openxmlformats-officedocument.wordprocessingml.commentsExtended+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commentsIdsDocument.xml" ContentType="application/vnd.openxmlformats-officedocument.wordprocessingml.commentsIds+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60" w:lineRule="auto"/>
        <w:rPr>
          <w:sz w:val="20"/>
          <w:szCs w:val="20"/>
        </w:rPr>
      </w:pPr>
      <w:r>
        <w:rPr>
          <w:rFonts w:ascii="Times New Roman" w:hAnsi="Times New Roman" w:cs="Times New Roman" w:eastAsia="Times New Roman"/>
          <w:b/>
          <w:sz w:val="20"/>
          <w:szCs w:val="20"/>
          <w:rtl w:val="false"/>
        </w:rPr>
        <w:t xml:space="preserve">Objetos de Aprendizagem com </w:t>
      </w:r>
      <w:r>
        <w:rPr>
          <w:rFonts w:ascii="Times New Roman" w:hAnsi="Times New Roman" w:cs="Times New Roman" w:eastAsia="Times New Roman"/>
          <w:b/>
          <w:i/>
          <w:sz w:val="20"/>
          <w:szCs w:val="20"/>
          <w:rtl w:val="false"/>
        </w:rPr>
        <w:t xml:space="preserve">Feedbacks</w:t>
      </w:r>
      <w:r>
        <w:rPr>
          <w:rFonts w:ascii="Times New Roman" w:hAnsi="Times New Roman" w:cs="Times New Roman" w:eastAsia="Times New Roman"/>
          <w:b/>
          <w:sz w:val="20"/>
          <w:szCs w:val="20"/>
          <w:rtl w:val="false"/>
        </w:rPr>
        <w:t xml:space="preserve"> para a Autorregulação da Aprendizagem de Conceitos Matemáticos Necessários para o Cálculo Diferencial e Integral</w:t>
      </w:r>
      <w:r>
        <w:rPr>
          <w:rtl w:val="false"/>
        </w:rPr>
      </w:r>
      <w:r/>
    </w:p>
    <w:p>
      <w:pPr>
        <w:rPr>
          <w:rFonts w:ascii="Times New Roman" w:hAnsi="Times New Roman" w:cs="Times New Roman" w:eastAsia="Times New Roman"/>
          <w:sz w:val="22"/>
          <w:szCs w:val="22"/>
        </w:rPr>
      </w:pPr>
      <w:r>
        <w:rPr>
          <w:rtl w:val="false"/>
        </w:rPr>
      </w:r>
      <w:r/>
    </w:p>
    <w:p>
      <w:pPr>
        <w:ind w:firstLine="709"/>
        <w:rPr>
          <w:sz w:val="22"/>
          <w:szCs w:val="22"/>
        </w:rPr>
      </w:pPr>
      <w:r>
        <w:rPr>
          <w:rFonts w:ascii="Times New Roman" w:hAnsi="Times New Roman" w:cs="Times New Roman" w:eastAsia="Times New Roman"/>
          <w:b/>
          <w:rtl w:val="false"/>
        </w:rPr>
        <w:t xml:space="preserve">RESUMO</w:t>
      </w:r>
      <w:r>
        <w:rPr>
          <w:rtl w:val="false"/>
        </w:rPr>
      </w:r>
      <w:r/>
    </w:p>
    <w:p>
      <w:pPr>
        <w:ind w:firstLine="709"/>
        <w:jc w:val="both"/>
        <w:rPr>
          <w:rFonts w:ascii="Times New Roman" w:hAnsi="Times New Roman" w:cs="Times New Roman" w:eastAsia="Times New Roman"/>
          <w:sz w:val="20"/>
          <w:szCs w:val="20"/>
        </w:rPr>
      </w:pPr>
      <w:r>
        <w:rPr>
          <w:rFonts w:ascii="Times New Roman" w:hAnsi="Times New Roman" w:cs="Times New Roman" w:eastAsia="Times New Roman"/>
          <w:b/>
          <w:sz w:val="20"/>
          <w:szCs w:val="20"/>
          <w:rtl w:val="false"/>
        </w:rPr>
        <w:t xml:space="preserve">Contexto</w:t>
      </w:r>
      <w:r>
        <w:rPr>
          <w:rFonts w:ascii="Times New Roman" w:hAnsi="Times New Roman" w:cs="Times New Roman" w:eastAsia="Times New Roman"/>
          <w:sz w:val="20"/>
          <w:szCs w:val="20"/>
          <w:rtl w:val="false"/>
        </w:rPr>
        <w:t xml:space="preserve">: Devido aos altos índices de reprovação, é de fundamental importância buscar alternativas que minimizem as dificuldades que os estudantes ingressantes nas Universidades brasileiras apresentam nas disciplinas da área da matemática. Uma alternativ</w:t>
      </w:r>
      <w:r>
        <w:rPr>
          <w:rFonts w:ascii="Times New Roman" w:hAnsi="Times New Roman" w:cs="Times New Roman" w:eastAsia="Times New Roman"/>
          <w:sz w:val="20"/>
          <w:szCs w:val="20"/>
          <w:rtl w:val="false"/>
        </w:rPr>
        <w:t xml:space="preserve">a é o uso de Objetos de Aprendizagem (OA) que possibilitem a conscientização dos erros cometidos de modo a incentivar a capacidade de formular hipóteses e resolver situações-problemas. Aspectos esses, fundamentais para autorregulação da aprendizagem. </w:t>
      </w:r>
      <w:r>
        <w:rPr>
          <w:rFonts w:ascii="Times New Roman" w:hAnsi="Times New Roman" w:cs="Times New Roman" w:eastAsia="Times New Roman"/>
          <w:b/>
          <w:sz w:val="20"/>
          <w:szCs w:val="20"/>
          <w:rtl w:val="false"/>
        </w:rPr>
        <w:t xml:space="preserve">Objetivos</w:t>
      </w:r>
      <w:r>
        <w:rPr>
          <w:rFonts w:ascii="Times New Roman" w:hAnsi="Times New Roman" w:cs="Times New Roman" w:eastAsia="Times New Roman"/>
          <w:sz w:val="20"/>
          <w:szCs w:val="20"/>
          <w:rtl w:val="false"/>
        </w:rPr>
        <w:t xml:space="preserve">: Apresentar a concepção de um OA com </w:t>
      </w:r>
      <w:r>
        <w:rPr>
          <w:rFonts w:ascii="Times New Roman" w:hAnsi="Times New Roman" w:cs="Times New Roman" w:eastAsia="Times New Roman"/>
          <w:i/>
          <w:sz w:val="20"/>
          <w:szCs w:val="20"/>
          <w:rtl w:val="false"/>
        </w:rPr>
        <w:t xml:space="preserve">feedbacks</w:t>
      </w:r>
      <w:r>
        <w:rPr>
          <w:rFonts w:ascii="Times New Roman" w:hAnsi="Times New Roman" w:cs="Times New Roman" w:eastAsia="Times New Roman"/>
          <w:sz w:val="20"/>
          <w:szCs w:val="20"/>
          <w:rtl w:val="false"/>
        </w:rPr>
        <w:t xml:space="preserve"> que possibilitem ao aluno a autorregulação da sua aprendizagem, no que diz respeito aos conceitos de Matemática necessários para o Cálculo Diferencial e Integral. </w:t>
      </w:r>
      <w:r>
        <w:rPr>
          <w:rFonts w:ascii="Times New Roman" w:hAnsi="Times New Roman" w:cs="Times New Roman" w:eastAsia="Times New Roman"/>
          <w:b/>
          <w:sz w:val="20"/>
          <w:szCs w:val="20"/>
          <w:rtl w:val="false"/>
        </w:rPr>
        <w:t xml:space="preserve">Design</w:t>
      </w:r>
      <w:r>
        <w:rPr>
          <w:rFonts w:ascii="Times New Roman" w:hAnsi="Times New Roman" w:cs="Times New Roman" w:eastAsia="Times New Roman"/>
          <w:sz w:val="20"/>
          <w:szCs w:val="20"/>
          <w:rtl w:val="false"/>
        </w:rPr>
        <w:t xml:space="preserve">:</w:t>
      </w:r>
      <w:r>
        <w:rPr>
          <w:rFonts w:ascii="Times New Roman" w:hAnsi="Times New Roman" w:cs="Times New Roman" w:eastAsia="Times New Roman"/>
          <w:sz w:val="20"/>
          <w:szCs w:val="20"/>
          <w:rtl w:val="false"/>
        </w:rPr>
        <w:t xml:space="preserve"> A pesquisa está fundamentada na metodologia Design Science Research - DSR </w:t>
      </w:r>
      <w:r>
        <w:rPr>
          <w:rFonts w:ascii="Times New Roman" w:hAnsi="Times New Roman" w:cs="Times New Roman" w:eastAsia="Times New Roman"/>
          <w:sz w:val="20"/>
          <w:szCs w:val="20"/>
          <w:rtl w:val="false"/>
        </w:rPr>
        <w:t xml:space="preserve">Na primeira etapa detalhada neste artigo, procurou-se apresentar a relevância do problema e a proposta de design do artefato, bem como uma primeira fase de avaliação desse design.</w:t>
      </w:r>
      <w:r>
        <w:rPr>
          <w:rFonts w:ascii="Times New Roman" w:hAnsi="Times New Roman" w:cs="Times New Roman" w:eastAsia="Times New Roman"/>
          <w:sz w:val="20"/>
          <w:szCs w:val="20"/>
          <w:rtl w:val="false"/>
        </w:rPr>
        <w:t xml:space="preserve"> </w:t>
      </w:r>
      <w:r>
        <w:rPr>
          <w:rFonts w:ascii="Times New Roman" w:hAnsi="Times New Roman" w:cs="Times New Roman" w:eastAsia="Times New Roman"/>
          <w:b/>
          <w:sz w:val="20"/>
          <w:szCs w:val="20"/>
          <w:rtl w:val="false"/>
        </w:rPr>
        <w:t xml:space="preserve">Ambiente e participantes</w:t>
      </w:r>
      <w:r>
        <w:rPr>
          <w:rFonts w:ascii="Times New Roman" w:hAnsi="Times New Roman" w:cs="Times New Roman" w:eastAsia="Times New Roman"/>
          <w:sz w:val="20"/>
          <w:szCs w:val="20"/>
          <w:rtl w:val="false"/>
        </w:rPr>
        <w:t xml:space="preserve">: O OA foi submetido a uma avaliação </w:t>
      </w:r>
      <w:r>
        <w:rPr>
          <w:rFonts w:ascii="Times New Roman" w:hAnsi="Times New Roman" w:cs="Times New Roman" w:eastAsia="Times New Roman"/>
          <w:i/>
          <w:sz w:val="20"/>
          <w:szCs w:val="20"/>
          <w:rtl w:val="false"/>
        </w:rPr>
        <w:t xml:space="preserve">online</w:t>
      </w:r>
      <w:r>
        <w:rPr>
          <w:rFonts w:ascii="Times New Roman" w:hAnsi="Times New Roman" w:cs="Times New Roman" w:eastAsia="Times New Roman"/>
          <w:sz w:val="20"/>
          <w:szCs w:val="20"/>
          <w:rtl w:val="false"/>
        </w:rPr>
        <w:t xml:space="preserve"> por sete professores de Matemática</w:t>
      </w:r>
      <w:r>
        <w:rPr>
          <w:rFonts w:ascii="Times New Roman" w:hAnsi="Times New Roman" w:cs="Times New Roman" w:eastAsia="Times New Roman"/>
          <w:sz w:val="20"/>
          <w:szCs w:val="20"/>
          <w:rtl w:val="false"/>
        </w:rPr>
        <w:t xml:space="preserve">, e dois pesquisadores da Educação Matemática. </w:t>
      </w:r>
      <w:r>
        <w:rPr>
          <w:rFonts w:ascii="Times New Roman" w:hAnsi="Times New Roman" w:cs="Times New Roman" w:eastAsia="Times New Roman"/>
          <w:b/>
          <w:sz w:val="20"/>
          <w:szCs w:val="20"/>
          <w:rtl w:val="false"/>
        </w:rPr>
        <w:t xml:space="preserve">Coleta e análise de dados</w:t>
      </w:r>
      <w:r>
        <w:rPr>
          <w:rFonts w:ascii="Times New Roman" w:hAnsi="Times New Roman" w:cs="Times New Roman" w:eastAsia="Times New Roman"/>
          <w:b/>
          <w:sz w:val="20"/>
          <w:szCs w:val="20"/>
          <w:rtl w:val="false"/>
        </w:rPr>
        <w:t xml:space="preserve">:</w:t>
      </w:r>
      <w:r>
        <w:rPr>
          <w:rFonts w:ascii="Times New Roman" w:hAnsi="Times New Roman" w:cs="Times New Roman" w:eastAsia="Times New Roman"/>
          <w:sz w:val="20"/>
          <w:szCs w:val="20"/>
          <w:rtl w:val="false"/>
        </w:rPr>
        <w:t xml:space="preserve"> Foi realizada através da transcrição dos vídeos gravados durante a avaliação, via </w:t>
      </w:r>
      <w:r>
        <w:rPr>
          <w:rFonts w:ascii="Times New Roman" w:hAnsi="Times New Roman" w:cs="Times New Roman" w:eastAsia="Times New Roman"/>
          <w:i/>
          <w:sz w:val="20"/>
          <w:szCs w:val="20"/>
          <w:rtl w:val="false"/>
        </w:rPr>
        <w:t xml:space="preserve">Google meet.</w:t>
      </w:r>
      <w:r>
        <w:rPr>
          <w:rFonts w:ascii="Times New Roman" w:hAnsi="Times New Roman" w:cs="Times New Roman" w:eastAsia="Times New Roman"/>
          <w:sz w:val="20"/>
          <w:szCs w:val="20"/>
          <w:rtl w:val="false"/>
        </w:rPr>
        <w:t xml:space="preserve"> </w:t>
      </w:r>
      <w:r>
        <w:rPr>
          <w:rFonts w:ascii="Times New Roman" w:hAnsi="Times New Roman" w:cs="Times New Roman" w:eastAsia="Times New Roman"/>
          <w:b/>
          <w:sz w:val="20"/>
          <w:szCs w:val="20"/>
          <w:rtl w:val="false"/>
        </w:rPr>
        <w:t xml:space="preserve">Resultados: </w:t>
      </w:r>
      <w:r>
        <w:rPr>
          <w:rFonts w:ascii="Times New Roman" w:hAnsi="Times New Roman" w:cs="Times New Roman" w:eastAsia="Times New Roman"/>
          <w:sz w:val="20"/>
          <w:szCs w:val="20"/>
          <w:rtl w:val="false"/>
        </w:rPr>
        <w:t xml:space="preserve">Os especialistas apontaram potencialidades na utilização de OA para diagnosticar e remediar/intervir frente aos possíveis erros cometidos por alunos ingressantes no Ensino Superior. </w:t>
      </w:r>
      <w:r>
        <w:rPr>
          <w:rFonts w:ascii="Times New Roman" w:hAnsi="Times New Roman" w:cs="Times New Roman" w:eastAsia="Times New Roman"/>
          <w:b/>
          <w:sz w:val="20"/>
          <w:szCs w:val="20"/>
          <w:rtl w:val="false"/>
        </w:rPr>
        <w:t xml:space="preserve">Conclusões</w:t>
      </w:r>
      <w:r>
        <w:rPr>
          <w:rFonts w:ascii="Times New Roman" w:hAnsi="Times New Roman" w:cs="Times New Roman" w:eastAsia="Times New Roman"/>
          <w:sz w:val="20"/>
          <w:szCs w:val="20"/>
          <w:rtl w:val="false"/>
        </w:rPr>
        <w:t xml:space="preserve">: Após a avaliação o artefato foi reestruturado e melhorado seguindo os apontamentos feitos pelos especialistas. Os próximos passos da pesquisa serão a implementação da versão completa dos OA,</w:t>
      </w:r>
      <w:r>
        <w:rPr>
          <w:rFonts w:ascii="Times New Roman" w:hAnsi="Times New Roman" w:cs="Times New Roman" w:eastAsia="Times New Roman"/>
          <w:sz w:val="20"/>
          <w:szCs w:val="20"/>
          <w:rtl w:val="false"/>
        </w:rPr>
        <w:t xml:space="preserve"> com questões que e</w:t>
      </w:r>
      <w:r>
        <w:rPr>
          <w:rFonts w:ascii="Times New Roman" w:hAnsi="Times New Roman" w:cs="Times New Roman" w:eastAsia="Times New Roman"/>
          <w:sz w:val="20"/>
          <w:szCs w:val="20"/>
          <w:rtl w:val="false"/>
        </w:rPr>
        <w:t xml:space="preserve">xplorem os estratos do conhecimento numérico, algébrico e funcional. Espera-se que, ao término da pesquisa, tenha-se um produto educacional capaz de auxiliar os alunos em suas dificuldades matemáticas em CDI. </w:t>
      </w:r>
      <w:r>
        <w:rPr>
          <w:rtl w:val="false"/>
        </w:rPr>
      </w:r>
      <w:r/>
    </w:p>
    <w:p>
      <w:pPr>
        <w:ind w:firstLine="709"/>
      </w:pPr>
      <w:r>
        <w:rPr>
          <w:rFonts w:ascii="Times New Roman" w:hAnsi="Times New Roman" w:cs="Times New Roman" w:eastAsia="Times New Roman"/>
          <w:b/>
          <w:sz w:val="20"/>
          <w:szCs w:val="20"/>
          <w:rtl w:val="false"/>
        </w:rPr>
        <w:t xml:space="preserve">Palavras-chave</w:t>
      </w:r>
      <w:r>
        <w:rPr>
          <w:rFonts w:ascii="Times New Roman" w:hAnsi="Times New Roman" w:cs="Times New Roman" w:eastAsia="Times New Roman"/>
          <w:sz w:val="20"/>
          <w:szCs w:val="20"/>
          <w:rtl w:val="false"/>
        </w:rPr>
        <w:t xml:space="preserve">: Objetos de Aprendizagem; </w:t>
      </w:r>
      <w:r>
        <w:rPr>
          <w:rFonts w:ascii="Times New Roman" w:hAnsi="Times New Roman" w:cs="Times New Roman" w:eastAsia="Times New Roman"/>
          <w:i/>
          <w:sz w:val="20"/>
          <w:szCs w:val="20"/>
          <w:rtl w:val="false"/>
        </w:rPr>
        <w:t xml:space="preserve">Feedbacks</w:t>
      </w:r>
      <w:r>
        <w:rPr>
          <w:rFonts w:ascii="Times New Roman" w:hAnsi="Times New Roman" w:cs="Times New Roman" w:eastAsia="Times New Roman"/>
          <w:sz w:val="20"/>
          <w:szCs w:val="20"/>
          <w:rtl w:val="false"/>
        </w:rPr>
        <w:t xml:space="preserve">; Autorregulação da Aprendizagem; </w:t>
      </w:r>
      <w:r>
        <w:rPr>
          <w:rFonts w:ascii="Times New Roman" w:hAnsi="Times New Roman" w:cs="Times New Roman" w:eastAsia="Times New Roman"/>
          <w:sz w:val="20"/>
          <w:szCs w:val="20"/>
          <w:rtl w:val="false"/>
        </w:rPr>
        <w:t xml:space="preserve">Cálculo Diferencial e Integral</w:t>
      </w:r>
      <w:r>
        <w:rPr>
          <w:rFonts w:ascii="Times New Roman" w:hAnsi="Times New Roman" w:cs="Times New Roman" w:eastAsia="Times New Roman"/>
          <w:sz w:val="20"/>
          <w:szCs w:val="20"/>
          <w:rtl w:val="false"/>
        </w:rPr>
        <w:t xml:space="preserve">.</w:t>
      </w:r>
      <w:r>
        <w:rPr>
          <w:rtl w:val="false"/>
        </w:rPr>
      </w:r>
      <w:r/>
    </w:p>
    <w:p>
      <w:pPr>
        <w:ind w:firstLine="709"/>
      </w:pPr>
      <w:r>
        <w:rPr>
          <w:rFonts w:ascii="Times New Roman" w:hAnsi="Times New Roman" w:cs="Times New Roman" w:eastAsia="Times New Roman"/>
          <w:sz w:val="20"/>
          <w:szCs w:val="20"/>
          <w:rtl w:val="false"/>
        </w:rPr>
        <w:t xml:space="preserve"> </w:t>
      </w:r>
      <w:r>
        <w:rPr>
          <w:rtl w:val="false"/>
        </w:rPr>
      </w:r>
      <w:r/>
    </w:p>
    <w:p>
      <w:pPr>
        <w:ind w:firstLine="709"/>
        <w:spacing w:after="120"/>
        <w:rPr>
          <w:sz w:val="22"/>
          <w:szCs w:val="22"/>
        </w:rPr>
      </w:pPr>
      <w:r>
        <w:rPr>
          <w:rFonts w:ascii="Times New Roman" w:hAnsi="Times New Roman" w:cs="Times New Roman" w:eastAsia="Times New Roman"/>
          <w:b/>
          <w:rtl w:val="false"/>
        </w:rPr>
        <w:t xml:space="preserve">INTRODUÇÃO</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Os problemas relacionados à aprendizagem de conceitos</w:t>
      </w:r>
      <w:r>
        <w:rPr>
          <w:rFonts w:ascii="Times New Roman" w:hAnsi="Times New Roman" w:cs="Times New Roman" w:eastAsia="Times New Roman"/>
          <w:sz w:val="22"/>
          <w:szCs w:val="22"/>
          <w:rtl w:val="false"/>
        </w:rPr>
        <w:t xml:space="preserve"> matemáticos da Educação Básica, no caso de alunos que ingressam nos diferentes cursos superiores das áreas de Ciências Exatas (Borges &amp; Moretti, 2016), é um tópico comum em discussões no meio acadêmico, tanto no âmbito nacional quanto internacional. Em es</w:t>
      </w:r>
      <w:r>
        <w:rPr>
          <w:rFonts w:ascii="Times New Roman" w:hAnsi="Times New Roman" w:cs="Times New Roman" w:eastAsia="Times New Roman"/>
          <w:sz w:val="22"/>
          <w:szCs w:val="22"/>
          <w:rtl w:val="false"/>
        </w:rPr>
        <w:t xml:space="preserve">pecial, em eventos de Educação Matemática, como o Seminário Internacional de Pesquisa em Educação Matemática (SIPEM), o Encontro Nacional de Educação Matemática (ENEM), o Encontro Brasileiro de Estudantes de Pós-Graduação em Educação Matemática (EBRAPEM), </w:t>
      </w:r>
      <w:r>
        <w:rPr>
          <w:rFonts w:ascii="Times New Roman" w:hAnsi="Times New Roman" w:cs="Times New Roman" w:eastAsia="Times New Roman"/>
          <w:i/>
          <w:sz w:val="22"/>
          <w:szCs w:val="22"/>
          <w:rtl w:val="false"/>
        </w:rPr>
        <w:t xml:space="preserve">Psychology of Mathematics Education</w:t>
      </w:r>
      <w:r>
        <w:rPr>
          <w:rFonts w:ascii="Times New Roman" w:hAnsi="Times New Roman" w:cs="Times New Roman" w:eastAsia="Times New Roman"/>
          <w:sz w:val="22"/>
          <w:szCs w:val="22"/>
          <w:rtl w:val="false"/>
        </w:rPr>
        <w:t xml:space="preserve"> (PME) e </w:t>
      </w:r>
      <w:r>
        <w:rPr>
          <w:rFonts w:ascii="Times New Roman" w:hAnsi="Times New Roman" w:cs="Times New Roman" w:eastAsia="Times New Roman"/>
          <w:i/>
          <w:sz w:val="22"/>
          <w:szCs w:val="22"/>
          <w:rtl w:val="false"/>
        </w:rPr>
        <w:t xml:space="preserve">International Congress on Mathematics Education</w:t>
      </w:r>
      <w:r>
        <w:rPr>
          <w:rFonts w:ascii="Times New Roman" w:hAnsi="Times New Roman" w:cs="Times New Roman" w:eastAsia="Times New Roman"/>
          <w:sz w:val="22"/>
          <w:szCs w:val="22"/>
          <w:rtl w:val="false"/>
        </w:rPr>
        <w:t xml:space="preserve"> (ICME), os trabalhos apresentados apontam altos e crescentes índices de reprova</w:t>
      </w:r>
      <w:r>
        <w:rPr>
          <w:rFonts w:ascii="Times New Roman" w:hAnsi="Times New Roman" w:cs="Times New Roman" w:eastAsia="Times New Roman"/>
          <w:sz w:val="22"/>
          <w:szCs w:val="22"/>
          <w:rtl w:val="false"/>
        </w:rPr>
        <w:t xml:space="preserve">ções nas disciplinas matemáticas, ocasionando também um número significativo de desistências, especialmente nos cursos de Engenharia, fato que preocupa gestores e professores que ministram aulas nos primeiros períodos dos cursos de graduação (Feitosa et al</w:t>
      </w:r>
      <w:r>
        <w:rPr>
          <w:rFonts w:ascii="Times New Roman" w:hAnsi="Times New Roman" w:cs="Times New Roman" w:eastAsia="Times New Roman"/>
          <w:i/>
          <w:sz w:val="22"/>
          <w:szCs w:val="22"/>
          <w:rtl w:val="false"/>
        </w:rPr>
        <w:t xml:space="preserve">.</w:t>
      </w:r>
      <w:r>
        <w:rPr>
          <w:rFonts w:ascii="Times New Roman" w:hAnsi="Times New Roman" w:cs="Times New Roman" w:eastAsia="Times New Roman"/>
          <w:sz w:val="22"/>
          <w:szCs w:val="22"/>
          <w:rtl w:val="false"/>
        </w:rPr>
        <w:t xml:space="preserve">, 2020; Homa, 2020).</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 defasagem de conhecimento d</w:t>
      </w:r>
      <w:r>
        <w:rPr>
          <w:rFonts w:ascii="Times New Roman" w:hAnsi="Times New Roman" w:cs="Times New Roman" w:eastAsia="Times New Roman"/>
          <w:sz w:val="22"/>
          <w:szCs w:val="22"/>
          <w:rtl w:val="false"/>
        </w:rPr>
        <w:t xml:space="preserve">e parte dos alunos que ingressam nos cursos de graduação concentra-se principalmente no que se costuma denominar “conteúdos de matemática básica”, sem haver, entretanto, muita clareza ou consenso do que seriam esses “conteúdos” (Menestrina &amp; Moraes, 2012).</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Em consonância com os apontamentos de Zarpelon et al.</w:t>
      </w:r>
      <w:r>
        <w:rPr>
          <w:rFonts w:ascii="Times New Roman" w:hAnsi="Times New Roman" w:cs="Times New Roman" w:eastAsia="Times New Roman"/>
          <w:sz w:val="22"/>
          <w:szCs w:val="22"/>
          <w:rtl w:val="false"/>
        </w:rPr>
        <w:t xml:space="preserve"> (2017), na Universidade (omitido para avaliação), contexto de trabalho e de pesquisa dos autores, os maiores índices de insucesso, nos cursos de Engenharia, estão presentes nas disciplinas de Cálculo Diferencial e Integral I (CDI I) </w:t>
      </w:r>
      <w:r>
        <w:rPr>
          <w:rFonts w:ascii="Times New Roman" w:hAnsi="Times New Roman" w:cs="Times New Roman" w:eastAsia="Times New Roman"/>
          <w:sz w:val="22"/>
          <w:szCs w:val="22"/>
          <w:rtl w:val="false"/>
        </w:rPr>
        <w:t xml:space="preserve">e Geometria Analítica e Álgebra Linear, oferecidas no primeiro semestre da grade curricular. Relatos preliminares e iniciativas pedagógicas institucionais indicam que esse seja um dos motivos para o alto índice de reprovações e evasões nessas disciplinas. </w:t>
      </w:r>
      <w:r>
        <w:rPr>
          <w:rFonts w:ascii="Times New Roman" w:hAnsi="Times New Roman" w:cs="Times New Roman" w:eastAsia="Times New Roman"/>
          <w:sz w:val="22"/>
          <w:szCs w:val="22"/>
          <w:rtl w:val="false"/>
        </w:rPr>
        <w:t xml:space="preserve">Zarpelon</w:t>
      </w:r>
      <w:r>
        <w:rPr>
          <w:rFonts w:ascii="Times New Roman" w:hAnsi="Times New Roman" w:cs="Times New Roman" w:eastAsia="Times New Roman"/>
          <w:sz w:val="22"/>
          <w:szCs w:val="22"/>
          <w:rtl w:val="false"/>
        </w:rPr>
        <w:t xml:space="preserve"> et al. (2017) respaldam essa hipótese, apontando estudos que destacam a deficiência de formação em matemática básica é um fator relevante para justificar a falta de êxito na disciplina de CDI I.</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Além do fator citado acima, ao iniciar em um curso superior, os acadêmicos parecem deparar-se com um ambiente desconhecido e, muitas vezes, hostil. Em particular, o aluno de Engenharia, logo no primeiro semestre s</w:t>
      </w:r>
      <w:r>
        <w:rPr>
          <w:rFonts w:ascii="Times New Roman" w:hAnsi="Times New Roman" w:cs="Times New Roman" w:eastAsia="Times New Roman"/>
          <w:sz w:val="22"/>
          <w:szCs w:val="22"/>
          <w:rtl w:val="false"/>
        </w:rPr>
        <w:t xml:space="preserve">e vê frente a definições, demonstrações e propriedades associadas aos diferentes conceitos explorados em disciplinas matemáticas (Christo et al.</w:t>
      </w:r>
      <w:r>
        <w:rPr>
          <w:rFonts w:ascii="Times New Roman" w:hAnsi="Times New Roman" w:cs="Times New Roman" w:eastAsia="Times New Roman"/>
          <w:sz w:val="22"/>
          <w:szCs w:val="22"/>
          <w:rtl w:val="false"/>
        </w:rPr>
        <w:t xml:space="preserve">, 2018). Tais elementos são desconhecidos, gerando um abismo na transição do Ensino Médio para o Ensino Superior</w:t>
      </w: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sz w:val="22"/>
          <w:szCs w:val="22"/>
          <w:rtl w:val="false"/>
        </w:rPr>
        <w:t xml:space="preserve">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Nesse contexto, torna-se fundamental refletir sobre o modelo tradicional de ensino de Matemática vigente na universidade, em que o professor expõe o conteúdo, dá exem</w:t>
      </w:r>
      <w:r>
        <w:rPr>
          <w:rFonts w:ascii="Times New Roman" w:hAnsi="Times New Roman" w:cs="Times New Roman" w:eastAsia="Times New Roman"/>
          <w:sz w:val="22"/>
          <w:szCs w:val="22"/>
          <w:rtl w:val="false"/>
        </w:rPr>
        <w:t xml:space="preserve">plos e, em seguida, aplica provas para verificar se o estudante consegue reproduzir o que foi “passado” (Mendes et al., 2018). Deve-se pensar em formas de trabalho em que o estudante tenha um papel mais ativo no seu processo de elaboração de conhecimentos.</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Algumas propostas nessa direção envolvem a utilização de Tecnologias Digitais da Informação e Comunicação (TDIC) (Borba &amp; Penteado, 2019), o trabalho com tarefas de natureza exploratória (Autor</w:t>
      </w:r>
      <w:r>
        <w:rPr>
          <w:rFonts w:ascii="Times New Roman" w:hAnsi="Times New Roman" w:cs="Times New Roman" w:eastAsia="Times New Roman"/>
          <w:sz w:val="22"/>
          <w:szCs w:val="22"/>
          <w:rtl w:val="false"/>
        </w:rPr>
        <w:t xml:space="preserve">, 2021) e o trabalho colaborativo (Rodrigues et al., 20218). Além disso, a autorregulação surge como alternativa para que o estudante seja mais ativo no processo de ensino e aprendizagem, pois se refere ao grau em que o indivíduo atua, ao</w:t>
      </w:r>
      <w:r>
        <w:rPr>
          <w:rFonts w:ascii="Times New Roman" w:hAnsi="Times New Roman" w:cs="Times New Roman" w:eastAsia="Times New Roman"/>
          <w:sz w:val="22"/>
          <w:szCs w:val="22"/>
          <w:rtl w:val="false"/>
        </w:rPr>
        <w:t xml:space="preserve"> </w:t>
      </w:r>
      <w:r>
        <w:rPr>
          <w:rFonts w:ascii="Times New Roman" w:hAnsi="Times New Roman" w:cs="Times New Roman" w:eastAsia="Times New Roman"/>
          <w:sz w:val="22"/>
          <w:szCs w:val="22"/>
          <w:rtl w:val="false"/>
        </w:rPr>
        <w:t xml:space="preserve">nível metacognitivo, motivacional e comportamental, em relação aos seus próprios processos de aprendizagem e na realização de atividades escolares (Zimmerman, 1986; Casiraghi </w:t>
      </w:r>
      <w:r>
        <w:rPr>
          <w:rFonts w:ascii="Times New Roman" w:hAnsi="Times New Roman" w:cs="Times New Roman" w:eastAsia="Times New Roman"/>
          <w:sz w:val="22"/>
          <w:szCs w:val="22"/>
          <w:rtl w:val="false"/>
        </w:rPr>
        <w:t xml:space="preserve">et al.</w:t>
      </w:r>
      <w:r>
        <w:rPr>
          <w:rFonts w:ascii="Times New Roman" w:hAnsi="Times New Roman" w:cs="Times New Roman" w:eastAsia="Times New Roman"/>
          <w:color w:val="000000"/>
          <w:sz w:val="22"/>
        </w:rPr>
        <w:t xml:space="preserve">,</w:t>
      </w:r>
      <w:r>
        <w:rPr>
          <w:rFonts w:ascii="Times New Roman" w:hAnsi="Times New Roman" w:cs="Times New Roman" w:eastAsia="Times New Roman"/>
          <w:sz w:val="22"/>
          <w:szCs w:val="22"/>
          <w:rtl w:val="false"/>
        </w:rPr>
        <w:t xml:space="preserve"> 2020).</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Logo, propor um modelo que possibilite a autorregulação da aprendizagem de conteúdos matemáticos destinados a acadêmicos ingressantes no Ensino Superior se faz re</w:t>
      </w:r>
      <w:r>
        <w:rPr>
          <w:rFonts w:ascii="Times New Roman" w:hAnsi="Times New Roman" w:cs="Times New Roman" w:eastAsia="Times New Roman"/>
          <w:sz w:val="22"/>
          <w:szCs w:val="22"/>
          <w:rtl w:val="false"/>
        </w:rPr>
        <w:t xml:space="preserve">levante neste contexto. O principal objetivo do modelo é minimizar as deficiências matemáticas dos alunos que cursarão a disciplina de CDI, assim, espera-se um melhor desempenho dos alunos e, consequentemente, um aumento no número de aprovações. </w:t>
      </w:r>
      <w:r/>
    </w:p>
    <w:p>
      <w:pPr>
        <w:ind w:firstLine="709"/>
        <w:jc w:val="both"/>
        <w:spacing w:after="120"/>
        <w:rPr>
          <w:rFonts w:ascii="Times New Roman" w:hAnsi="Times New Roman" w:cs="Times New Roman" w:eastAsia="Times New Roman"/>
        </w:rPr>
      </w:pPr>
      <w:r>
        <w:rPr>
          <w:rFonts w:ascii="Times New Roman" w:hAnsi="Times New Roman" w:cs="Times New Roman" w:eastAsia="Times New Roman"/>
          <w:sz w:val="22"/>
          <w:szCs w:val="22"/>
          <w:rtl w:val="false"/>
        </w:rPr>
        <w:t xml:space="preserve">A proposta concebida neste trabalho caracteriza-se como uma forma de remediação de erros, viabilizada pela intervenção junto ao estudante antes da progressão em um determinado erro matemático. As intervenções serão realizadas em forma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apresentados conforme o número de tentativas sem sucesso do estudante. A remediação de erros é fundamentada na teoria de Múltiplas Representações Externas (MRE) em Objetos de Aprendizagem (OA), discutida por Leite et al.</w:t>
      </w:r>
      <w:r>
        <w:rPr>
          <w:rFonts w:ascii="Times New Roman" w:hAnsi="Times New Roman" w:cs="Times New Roman" w:eastAsia="Times New Roman"/>
          <w:sz w:val="22"/>
          <w:szCs w:val="22"/>
          <w:rtl w:val="false"/>
        </w:rPr>
        <w:t xml:space="preserve"> (2013).</w:t>
      </w:r>
      <w:r>
        <w:rPr>
          <w:rFonts w:ascii="Times New Roman" w:hAnsi="Times New Roman" w:cs="Times New Roman" w:eastAsia="Times New Roman"/>
          <w:rtl w:val="false"/>
        </w:rPr>
        <w:t xml:space="preserve">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Sendo assim, este trabalho apresenta os resultados de uma primeira etapa de uma pesquisa maior, com a intenção de conceber OA com </w:t>
      </w:r>
      <w:r>
        <w:rPr>
          <w:rFonts w:ascii="Times New Roman" w:hAnsi="Times New Roman" w:cs="Times New Roman" w:eastAsia="Times New Roman"/>
          <w:i/>
          <w:sz w:val="22"/>
          <w:szCs w:val="22"/>
          <w:rtl w:val="false"/>
        </w:rPr>
        <w:t xml:space="preserve">feedbacks </w:t>
      </w:r>
      <w:r>
        <w:rPr>
          <w:rFonts w:ascii="Times New Roman" w:hAnsi="Times New Roman" w:cs="Times New Roman" w:eastAsia="Times New Roman"/>
          <w:sz w:val="22"/>
          <w:szCs w:val="22"/>
          <w:rtl w:val="false"/>
        </w:rPr>
        <w:t xml:space="preserve">em uma plataforma</w:t>
      </w:r>
      <w:r>
        <w:rPr>
          <w:rFonts w:ascii="Times New Roman" w:hAnsi="Times New Roman" w:cs="Times New Roman" w:eastAsia="Times New Roman"/>
          <w:i/>
          <w:sz w:val="22"/>
          <w:szCs w:val="22"/>
          <w:rtl w:val="false"/>
        </w:rPr>
        <w:t xml:space="preserve"> online, </w:t>
      </w:r>
      <w:r>
        <w:rPr>
          <w:rFonts w:ascii="Times New Roman" w:hAnsi="Times New Roman" w:cs="Times New Roman" w:eastAsia="Times New Roman"/>
          <w:i w:val="0"/>
          <w:sz w:val="22"/>
          <w:szCs w:val="22"/>
          <w:rtl w:val="false"/>
        </w:rPr>
        <w:t xml:space="preserve">cujo</w:t>
      </w:r>
      <w:r>
        <w:rPr>
          <w:rFonts w:ascii="Times New Roman" w:hAnsi="Times New Roman" w:cs="Times New Roman" w:eastAsia="Times New Roman"/>
          <w:sz w:val="22"/>
          <w:szCs w:val="22"/>
          <w:rtl w:val="false"/>
        </w:rPr>
        <w:t xml:space="preserve"> objetivo é possibilitar ao aluno a autorregulação da sua aprendizagem, no que diz respeito aos conceitos de Matemática necess</w:t>
      </w:r>
      <w:r>
        <w:rPr>
          <w:rFonts w:ascii="Times New Roman" w:hAnsi="Times New Roman" w:cs="Times New Roman" w:eastAsia="Times New Roman"/>
          <w:sz w:val="22"/>
          <w:szCs w:val="22"/>
          <w:rtl w:val="false"/>
        </w:rPr>
        <w:t xml:space="preserve">ários para o CDI 1. Para tanto, os resultados apresentados aqui fazem parte de um levantamento bibliográfico que buscou justificar a relevância do problema de pesquisa, a proposta de design do artefato, bem como uma primeira fase de avaliação desse design.</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Ao construir OA que possibilitem diagnosticar erros do acadêmico que cursará a disciplina de CDI, em específico, erros relativos aos conteúdos de Matemática da Educação Básica, assume-se que eles poderão levantar </w:t>
      </w:r>
      <w:r>
        <w:rPr>
          <w:rFonts w:ascii="Times New Roman" w:hAnsi="Times New Roman" w:cs="Times New Roman" w:eastAsia="Times New Roman"/>
          <w:sz w:val="22"/>
          <w:szCs w:val="22"/>
          <w:rtl w:val="false"/>
        </w:rPr>
        <w:t xml:space="preserve">dados relevantes sobre as dificuldades do aluno no desenvolvimento da resolução de diferentes tarefas. Destaca-se, aqui, que os OA têm uma dupla função: a primeira é promover a aprendizagem individual no momento de sua utilização, enquanto o aluno, ao cons</w:t>
      </w:r>
      <w:r>
        <w:rPr>
          <w:rFonts w:ascii="Times New Roman" w:hAnsi="Times New Roman" w:cs="Times New Roman" w:eastAsia="Times New Roman"/>
          <w:sz w:val="22"/>
          <w:szCs w:val="22"/>
          <w:rtl w:val="false"/>
        </w:rPr>
        <w:t xml:space="preserve">cientizar-se do seu erro, amplia sua capacidade de pensar e resolver situações-problema, criar hipóteses e, assim, chegar a um novo conhecimento, aspectos esses fundamentais para a autorregulação da sua aprendizagem (Hadwin &amp; Oshigeh, 2011; Mendes, 2014).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 segunda função é oferecer informações para possíveis intervenções posteriores ao uso dos OA, porque o professor, ao ter acesso aos modos de interação dos alunos com os OA, p</w:t>
      </w:r>
      <w:r>
        <w:rPr>
          <w:rFonts w:ascii="Times New Roman" w:hAnsi="Times New Roman" w:cs="Times New Roman" w:eastAsia="Times New Roman"/>
          <w:sz w:val="22"/>
          <w:szCs w:val="22"/>
          <w:rtl w:val="false"/>
        </w:rPr>
        <w:t xml:space="preserve">ode diagnosticar os erros relativos aos conteúdos de Matemática da Educação Básica e levantar dados relevantes sobre as dificuldades na resolução das tarefas propostas e intervir em seus processos de aprendizagem (</w:t>
      </w:r>
      <w:r>
        <w:rPr>
          <w:rFonts w:ascii="Times New Roman" w:hAnsi="Times New Roman" w:cs="Times New Roman" w:eastAsia="Times New Roman"/>
          <w:sz w:val="22"/>
          <w:szCs w:val="22"/>
          <w:rtl w:val="false"/>
        </w:rPr>
        <w:t xml:space="preserve">Leite et al.</w:t>
      </w:r>
      <w:r>
        <w:rPr>
          <w:rFonts w:ascii="Times New Roman" w:hAnsi="Times New Roman" w:cs="Times New Roman" w:eastAsia="Times New Roman"/>
          <w:sz w:val="22"/>
          <w:szCs w:val="22"/>
          <w:rtl w:val="false"/>
        </w:rPr>
        <w:t xml:space="preserve">, 2013;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2015).</w:t>
      </w:r>
      <w:r/>
    </w:p>
    <w:p>
      <w:pPr>
        <w:ind w:firstLine="709"/>
        <w:spacing w:line="360" w:lineRule="auto"/>
        <w:rPr>
          <w:rFonts w:ascii="Times New Roman" w:hAnsi="Times New Roman" w:cs="Times New Roman" w:eastAsia="Times New Roman"/>
          <w:sz w:val="22"/>
          <w:szCs w:val="22"/>
        </w:rPr>
      </w:pPr>
      <w:r>
        <w:rPr>
          <w:rtl w:val="false"/>
        </w:rPr>
      </w:r>
      <w:r/>
    </w:p>
    <w:p>
      <w:pPr>
        <w:ind w:firstLine="709"/>
        <w:spacing w:line="360" w:lineRule="auto"/>
        <w:rPr>
          <w:rFonts w:ascii="Times New Roman" w:hAnsi="Times New Roman" w:cs="Times New Roman" w:eastAsia="Times New Roman"/>
          <w:sz w:val="22"/>
          <w:szCs w:val="22"/>
        </w:rPr>
      </w:pPr>
      <w:r>
        <w:rPr>
          <w:rFonts w:ascii="Times New Roman" w:hAnsi="Times New Roman" w:cs="Times New Roman" w:eastAsia="Times New Roman"/>
          <w:b/>
          <w:rtl w:val="false"/>
        </w:rPr>
        <w:t xml:space="preserve">REFERENCIAL TEÓRICO</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w:t>
      </w:r>
      <w:r>
        <w:rPr>
          <w:rFonts w:ascii="Times New Roman" w:hAnsi="Times New Roman" w:cs="Times New Roman" w:eastAsia="Times New Roman"/>
          <w:sz w:val="22"/>
          <w:szCs w:val="22"/>
          <w:rtl w:val="false"/>
        </w:rPr>
        <w:t xml:space="preserve"> realidade das universidades brasileiras têm sido modificada ao longo dos anos, o que pode ser observado também na (XXX), principalmente na disciplina de CDI 1. Dentre muitos fatores destacam-se, alunos</w:t>
      </w:r>
      <w:r/>
    </w:p>
    <w:p>
      <w:pPr>
        <w:ind w:left="1417" w:firstLine="0"/>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 dificuldades em conceitos matemáticos básicos, índice de reprovação elevado, salas cheias, alto número de alunos que procuram se matricular em uma disciplina, mas não há tur</w:t>
      </w:r>
      <w:r>
        <w:rPr>
          <w:rFonts w:ascii="Times New Roman" w:hAnsi="Times New Roman" w:cs="Times New Roman" w:eastAsia="Times New Roman"/>
          <w:sz w:val="22"/>
          <w:szCs w:val="22"/>
          <w:rtl w:val="false"/>
        </w:rPr>
        <w:t xml:space="preserve">mas para todo</w:t>
      </w:r>
      <w:r>
        <w:rPr>
          <w:rFonts w:ascii="Times New Roman" w:hAnsi="Times New Roman" w:cs="Times New Roman" w:eastAsia="Times New Roman"/>
          <w:sz w:val="22"/>
          <w:szCs w:val="22"/>
          <w:rtl w:val="false"/>
        </w:rPr>
        <w:t xml:space="preserve">s (muitos alunos, poucas salas de aula e/ou número de professores insuficiente). Essa descrição é bem conhecida para muitos professores de Cálculo Diferencial e Integral (CDI) de muitas universidades brasileiras. (Borssoi et al., 2017, p. 460).</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Voltando nossos olhos para a evasão em cursos de Engenharia, o relatório feito por Tonini e Dias (2019) para a ABENGE – Associação Brasileira de Educação em Engenharia destacou algumas dessas causas. Estas relacionam-se às questões pessoais do ingressa</w:t>
      </w:r>
      <w:r>
        <w:rPr>
          <w:rFonts w:ascii="Times New Roman" w:hAnsi="Times New Roman" w:cs="Times New Roman" w:eastAsia="Times New Roman"/>
          <w:sz w:val="22"/>
          <w:szCs w:val="22"/>
          <w:rtl w:val="false"/>
        </w:rPr>
        <w:t xml:space="preserve">nte, e também podem ser influenciadas também pela formação escolar anterior desse aluno, que chega ao Ensino Superior com déficit de conhecimentos, e não consegue acompanhar a intensa rotina de estudos exigida, culminando, assim, em reprovações sucessivas.</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Juntamente com o crescente índice de evasão e os altos índices de reprovações nesses cursos, vários fatores podem ser levantados a resp</w:t>
      </w:r>
      <w:r>
        <w:rPr>
          <w:rFonts w:ascii="Times New Roman" w:hAnsi="Times New Roman" w:cs="Times New Roman" w:eastAsia="Times New Roman"/>
          <w:sz w:val="22"/>
          <w:szCs w:val="22"/>
          <w:rtl w:val="false"/>
        </w:rPr>
        <w:t xml:space="preserve">eito dessa quest</w:t>
      </w:r>
      <w:r>
        <w:rPr>
          <w:rFonts w:ascii="Times New Roman" w:hAnsi="Times New Roman" w:cs="Times New Roman" w:eastAsia="Times New Roman"/>
          <w:sz w:val="22"/>
          <w:szCs w:val="22"/>
          <w:rtl w:val="false"/>
        </w:rPr>
        <w:t xml:space="preserve">ão na área de Engenharia, como o fator socioeconômico e a forma de ingresso no Ensino Superior, citados por Gomez et al. (2015) em uma análise feita sobre a evasão nos cursos de Engenharia da Universidade Tecnológica Federal do Paraná. Godoy e Gerab (2018)</w:t>
      </w:r>
      <w:r>
        <w:rPr>
          <w:rtl w:val="false"/>
        </w:rPr>
        <w:t xml:space="preserve"> </w:t>
      </w:r>
      <w:r>
        <w:rPr>
          <w:rFonts w:ascii="Times New Roman" w:hAnsi="Times New Roman" w:cs="Times New Roman" w:eastAsia="Times New Roman"/>
          <w:sz w:val="22"/>
          <w:szCs w:val="22"/>
          <w:rtl w:val="false"/>
        </w:rPr>
        <w:t xml:space="preserve">em um estudo realizado com docentes de uma escola de Engenharia do ABC P</w:t>
      </w:r>
      <w:r>
        <w:rPr>
          <w:rFonts w:ascii="Times New Roman" w:hAnsi="Times New Roman" w:cs="Times New Roman" w:eastAsia="Times New Roman"/>
          <w:sz w:val="22"/>
          <w:szCs w:val="22"/>
          <w:rtl w:val="false"/>
        </w:rPr>
        <w:t xml:space="preserve">aulista, apontam que, além dos fatores citados anteriormente, os estudantes demonstram um certo desânimo devido às dificuldades encontradas na Matemática da Educação Básica e às dificuldades de adaptação na transição do Ensino Médio para o Ensino Superior.</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Cunha e Carrilho (2005) ressaltam que</w:t>
      </w:r>
      <w:r>
        <w:rPr>
          <w:rtl w:val="false"/>
        </w:rPr>
        <w:t xml:space="preserve"> </w:t>
      </w:r>
      <w:r>
        <w:rPr>
          <w:rFonts w:ascii="Times New Roman" w:hAnsi="Times New Roman" w:cs="Times New Roman" w:eastAsia="Times New Roman"/>
          <w:sz w:val="22"/>
          <w:szCs w:val="22"/>
          <w:rtl w:val="false"/>
        </w:rPr>
        <w:t xml:space="preserve">apesar das dificuldades de adaptação e de rendimento acadêmico dos alunos, na transição do Ensino Médio para o Ensino Superior, um processo de adaptação b</w:t>
      </w:r>
      <w:r>
        <w:rPr>
          <w:rFonts w:ascii="Times New Roman" w:hAnsi="Times New Roman" w:cs="Times New Roman" w:eastAsia="Times New Roman"/>
          <w:sz w:val="22"/>
          <w:szCs w:val="22"/>
          <w:rtl w:val="false"/>
        </w:rPr>
        <w:t xml:space="preserve">em-sucedido, no início da graduação, pode ser um fator determinante na persistência e no sucesso dos alunos ao longo de sua vida acadêmica. Isso aponta para a importância de um olhar mais cuidadoso na transição desses dois níveis de ensino muito distintos.</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(2018a), por sua vez, afirmam que ao iniciar a disciplina de CDI 1:</w:t>
      </w:r>
      <w:r/>
    </w:p>
    <w:p>
      <w:pPr>
        <w:ind w:left="1417" w:firstLine="0"/>
        <w:jc w:val="both"/>
        <w:spacing w:after="120"/>
        <w:rPr>
          <w:rFonts w:ascii="Times New Roman" w:hAnsi="Times New Roman" w:cs="Times New Roman" w:eastAsia="Times New Roman"/>
          <w:sz w:val="22"/>
          <w:szCs w:val="22"/>
        </w:rPr>
      </w:pPr>
      <w:r>
        <w:rPr>
          <w:rFonts w:ascii="Times New Roman" w:hAnsi="Times New Roman" w:cs="Times New Roman" w:eastAsia="Times New Roman"/>
          <w:color w:val="000000"/>
          <w:sz w:val="22"/>
          <w:szCs w:val="22"/>
          <w:rtl w:val="false"/>
        </w:rPr>
        <w:t xml:space="preserve">nosso estudante geralmente apresenta características oriundas de sua rotina de estudos na Educação Básica, tais como: falta de </w:t>
      </w:r>
      <w:r>
        <w:rPr>
          <w:rFonts w:ascii="Times New Roman" w:hAnsi="Times New Roman" w:cs="Times New Roman" w:eastAsia="Times New Roman"/>
          <w:color w:val="000000"/>
          <w:sz w:val="22"/>
          <w:szCs w:val="22"/>
          <w:rtl w:val="false"/>
        </w:rPr>
        <w:t xml:space="preserve">experiências anteriores com tarefas de caráter investigativo; expectativa de aulas expositivas, sucedidas pela resolução de tarefas similares aos exemplos apresentados pelo professor; concepções equivocadas acerca de alguns conceitos matemáticos (muitas ve</w:t>
      </w:r>
      <w:r>
        <w:rPr>
          <w:rFonts w:ascii="Times New Roman" w:hAnsi="Times New Roman" w:cs="Times New Roman" w:eastAsia="Times New Roman"/>
          <w:color w:val="000000"/>
          <w:sz w:val="22"/>
          <w:szCs w:val="22"/>
          <w:rtl w:val="false"/>
        </w:rPr>
        <w:t xml:space="preserve">zes decorridas do foco na mecanização de processos, em vez de compreensão e atribuição de significado); hábito de trabalhar, na maioria das vezes, de forma individual, tendo dificuldade em expor e discutir suas ideias em grupo ou para toda a sala (p. 213).</w:t>
      </w:r>
      <w:r>
        <w:rPr>
          <w:rtl w:val="false"/>
        </w:rPr>
      </w:r>
      <w:r/>
    </w:p>
    <w:p>
      <w:pPr>
        <w:ind w:firstLine="709"/>
        <w:jc w:val="both"/>
        <w:spacing w:after="120"/>
        <w:rPr>
          <w:rFonts w:ascii="Times New Roman" w:hAnsi="Times New Roman" w:cs="Times New Roman" w:eastAsia="Times New Roman"/>
        </w:rPr>
      </w:pPr>
      <w:r>
        <w:rPr>
          <w:rFonts w:ascii="Times New Roman" w:hAnsi="Times New Roman" w:cs="Times New Roman" w:eastAsia="Times New Roman"/>
          <w:sz w:val="22"/>
          <w:szCs w:val="22"/>
          <w:rtl w:val="false"/>
        </w:rPr>
        <w:t xml:space="preserve">Para Godoy e Gerab (2018), é necessário um olhar mais atento para esse momento crítico na fase inicial da vida acad</w:t>
      </w:r>
      <w:r>
        <w:rPr>
          <w:rFonts w:ascii="Times New Roman" w:hAnsi="Times New Roman" w:cs="Times New Roman" w:eastAsia="Times New Roman"/>
          <w:sz w:val="22"/>
          <w:szCs w:val="22"/>
          <w:rtl w:val="false"/>
        </w:rPr>
        <w:t xml:space="preserve">êmica de um aluno ingressante no Ensino Superior. Os autores ressaltam que o docente deve revisitar frequentemente sua prática docente, pois, assim, poderá contribuir para o sucesso acadêmico desses jovens ingressantes no processo de ensino e aprendizagem.</w:t>
      </w:r>
      <w:r>
        <w:rPr>
          <w:rtl w:val="false"/>
        </w:rPr>
      </w:r>
      <w:r/>
    </w:p>
    <w:p>
      <w:pPr>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ab/>
      </w:r>
      <w:r/>
    </w:p>
    <w:p>
      <w:pPr>
        <w:ind w:firstLine="720"/>
        <w:jc w:val="both"/>
        <w:spacing w:after="120"/>
        <w:rPr>
          <w:rFonts w:ascii="Times New Roman" w:hAnsi="Times New Roman" w:cs="Times New Roman" w:eastAsia="Times New Roman"/>
        </w:rPr>
      </w:pPr>
      <w:r>
        <w:rPr>
          <w:rFonts w:ascii="Times New Roman" w:hAnsi="Times New Roman" w:cs="Times New Roman" w:eastAsia="Times New Roman"/>
          <w:b/>
          <w:sz w:val="22"/>
          <w:szCs w:val="22"/>
          <w:rtl w:val="false"/>
        </w:rPr>
        <w:t xml:space="preserve">TDIC no Ensino e Aprendizagem de CDI 1</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 uso de TDIC como forma de estabelecer uma relação entre o professor e o aluno vem sendo discutido desde o fim dos anos 1980 (Faria et al., 2018). No âmbito da </w:t>
      </w:r>
      <w:r>
        <w:rPr>
          <w:rFonts w:ascii="Times New Roman" w:hAnsi="Times New Roman" w:cs="Times New Roman" w:eastAsia="Times New Roman"/>
          <w:sz w:val="22"/>
          <w:szCs w:val="22"/>
          <w:rtl w:val="false"/>
        </w:rPr>
        <w:t xml:space="preserve">Educação Matemática, estudos sobre o ensino utilizando as TDIC remetem à mesma época e, segundo Borba et al. (2020), o uso da Internet rápida e de qualidade está “democratizando” a publicação e divulgação de materiais digitais de matemática na grande rede.</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No Ensino Superior, em particular, no Ensino de CDI, </w:t>
      </w:r>
      <w:r>
        <w:rPr>
          <w:rFonts w:ascii="Times New Roman" w:hAnsi="Times New Roman" w:cs="Times New Roman" w:eastAsia="Times New Roman"/>
          <w:sz w:val="22"/>
          <w:szCs w:val="22"/>
          <w:rtl w:val="false"/>
        </w:rPr>
        <w:t xml:space="preserve">muito se discute o uso de TDIC e as mudanças que elas estão gerando nos últimos anos, tais como novas abordagens metodológicas e quais são as melhores formas de aproveitar essas ferramentas em sala de aula como recurso didático (Santos et al., 2020). Os au</w:t>
      </w:r>
      <w:r>
        <w:rPr>
          <w:rFonts w:ascii="Times New Roman" w:hAnsi="Times New Roman" w:cs="Times New Roman" w:eastAsia="Times New Roman"/>
          <w:sz w:val="22"/>
          <w:szCs w:val="22"/>
          <w:rtl w:val="false"/>
        </w:rPr>
        <w:t xml:space="preserve">tores apontam que a intersecção CDI/TDIC como recurso didático-pedagógico em sala de aula, pode favorecer os processos de ensino e de aprendizagem dos conteúdos das disciplinas, potencializando e resignificando a construção dos conhecimentos matemáticos.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Tais aspectos são alinhados às orientações presentes</w:t>
      </w:r>
      <w:r>
        <w:rPr>
          <w:rFonts w:ascii="Times New Roman" w:hAnsi="Times New Roman" w:cs="Times New Roman" w:eastAsia="Times New Roman"/>
          <w:sz w:val="22"/>
          <w:szCs w:val="22"/>
          <w:rtl w:val="false"/>
        </w:rPr>
        <w:t xml:space="preserve"> nas Diretrizes Curriculares Nacionais do Curso de Graduação em Engenharia (Resolução CNE/CES n.º 2/2019). Nesse documento é descrito o perfil do egresso do curso de graduação em Engenharia que deve, entre outras, compreender as seguintes características: </w:t>
      </w:r>
      <w:r/>
    </w:p>
    <w:p>
      <w:pPr>
        <w:contextualSpacing w:val="0"/>
        <w:ind w:left="1417" w:firstLine="0"/>
        <w:jc w:val="both"/>
        <w:spacing w:after="120"/>
        <w:rPr>
          <w:rFonts w:ascii="Times New Roman" w:hAnsi="Times New Roman" w:cs="Times New Roman" w:eastAsia="Times New Roman"/>
          <w:sz w:val="22"/>
          <w:szCs w:val="22"/>
        </w:rPr>
        <w:suppressLineNumbers w:val="0"/>
      </w:pPr>
      <w:r>
        <w:rPr>
          <w:rFonts w:ascii="Times New Roman" w:hAnsi="Times New Roman" w:cs="Times New Roman" w:eastAsia="Times New Roman"/>
          <w:sz w:val="22"/>
          <w:szCs w:val="22"/>
          <w:rtl w:val="false"/>
        </w:rPr>
        <w:t xml:space="preserve">C</w:t>
      </w:r>
      <w:r>
        <w:rPr>
          <w:rFonts w:ascii="Times New Roman" w:hAnsi="Times New Roman" w:cs="Times New Roman" w:eastAsia="Times New Roman"/>
          <w:sz w:val="22"/>
          <w:szCs w:val="22"/>
          <w:rtl w:val="false"/>
        </w:rPr>
        <w:t xml:space="preserve">omunicar-se eficazmente nas formas escrita, oral e gráfica: a) ser capaz de expressar-se ade</w:t>
      </w:r>
      <w:r>
        <w:rPr>
          <w:rFonts w:ascii="Times New Roman" w:hAnsi="Times New Roman" w:cs="Times New Roman" w:eastAsia="Times New Roman"/>
          <w:sz w:val="22"/>
          <w:szCs w:val="22"/>
          <w:rtl w:val="false"/>
        </w:rPr>
        <w:t xml:space="preserve">quadamente, seja na língua pátria ou em idioma diferente do português, inclusive por meio do uso consistente das tecnologias digitais de informação e comunicação (TDIC), mantendo-se sempre atualizado em termos de métodos e tecnologias disponíveis. (p. 2)</w:t>
      </w:r>
      <w:r>
        <w:rPr>
          <w:rFonts w:ascii="Times New Roman" w:hAnsi="Times New Roman" w:cs="Times New Roman" w:eastAsia="Times New Roman"/>
          <w:sz w:val="22"/>
          <w:szCs w:val="22"/>
          <w:rtl w:val="false"/>
        </w:rPr>
        <w:t xml:space="preserve"> </w:t>
      </w:r>
      <w:r>
        <w:rPr>
          <w:rtl w:val="false"/>
        </w:rPr>
      </w:r>
      <w:r/>
    </w:p>
    <w:p>
      <w:pPr>
        <w:ind w:left="0" w:firstLine="720"/>
        <w:jc w:val="both"/>
        <w:spacing w:after="120"/>
        <w:rPr>
          <w:rFonts w:ascii="Times New Roman" w:hAnsi="Times New Roman" w:cs="Times New Roman" w:eastAsia="Times New Roman"/>
        </w:rPr>
      </w:pPr>
      <w:r>
        <w:rPr>
          <w:rFonts w:ascii="Times New Roman" w:hAnsi="Times New Roman" w:cs="Times New Roman" w:eastAsia="Times New Roman"/>
          <w:sz w:val="22"/>
          <w:szCs w:val="22"/>
          <w:rtl w:val="false"/>
        </w:rPr>
        <w:t xml:space="preserve">Ressalta também que, no curso, deve ser estimulado o uso de metodologias para aprendizagem ativa, para promover uma educação mais centrada no aluno.</w:t>
      </w:r>
      <w:r>
        <w:rPr>
          <w:rFonts w:ascii="Times New Roman" w:hAnsi="Times New Roman" w:cs="Times New Roman" w:eastAsia="Times New Roman"/>
          <w:rtl w:val="false"/>
        </w:rPr>
        <w:t xml:space="preserve">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 base no perfil dos seus ingressantes, a Resolução CNE/CES n.º 2/2019 no Art. 7º define que o Projeto Pedagógico do Curso (PPC) deve prever sistemas de acolhimento e nivelamento, visando à diminuição da retenção e da evasão, ao considerar:</w:t>
      </w:r>
      <w:r/>
    </w:p>
    <w:p>
      <w:pPr>
        <w:ind w:left="1417" w:firstLine="0"/>
        <w:jc w:val="both"/>
        <w:spacing w:after="120"/>
        <w:rPr>
          <w:rFonts w:ascii="Times New Roman" w:hAnsi="Times New Roman" w:cs="Times New Roman" w:eastAsia="Times New Roman"/>
          <w:sz w:val="20"/>
          <w:szCs w:val="20"/>
        </w:rPr>
      </w:pPr>
      <w:r>
        <w:rPr>
          <w:rFonts w:ascii="Times New Roman" w:hAnsi="Times New Roman" w:cs="Times New Roman" w:eastAsia="Times New Roman"/>
          <w:color w:val="000000"/>
          <w:sz w:val="20"/>
          <w:szCs w:val="20"/>
          <w:rtl w:val="false"/>
        </w:rPr>
        <w:t xml:space="preserve">I. as necessidades de conhecimentos básicos que são pré-requisitos para o ingresso nas atividades do curso de graduação em Engenharia; </w:t>
      </w:r>
      <w:r>
        <w:rPr>
          <w:rtl w:val="false"/>
        </w:rPr>
      </w:r>
      <w:r/>
    </w:p>
    <w:p>
      <w:pPr>
        <w:ind w:left="1417" w:firstLine="0"/>
        <w:jc w:val="both"/>
        <w:spacing w:after="120"/>
        <w:rPr>
          <w:rFonts w:ascii="Times New Roman" w:hAnsi="Times New Roman" w:cs="Times New Roman" w:eastAsia="Times New Roman"/>
          <w:sz w:val="20"/>
          <w:szCs w:val="20"/>
        </w:rPr>
      </w:pPr>
      <w:r>
        <w:rPr>
          <w:rFonts w:ascii="Times New Roman" w:hAnsi="Times New Roman" w:cs="Times New Roman" w:eastAsia="Times New Roman"/>
          <w:color w:val="000000"/>
          <w:sz w:val="20"/>
          <w:szCs w:val="20"/>
          <w:rtl w:val="false"/>
        </w:rPr>
        <w:t xml:space="preserve">II. a preparação pedagógica e psicopedagógica para o acompanhamento das atividades do curso de graduação em Engenharia; </w:t>
      </w:r>
      <w:r>
        <w:rPr>
          <w:rtl w:val="false"/>
        </w:rPr>
      </w:r>
      <w:r/>
    </w:p>
    <w:p>
      <w:pPr>
        <w:ind w:left="1417" w:firstLine="0"/>
        <w:jc w:val="both"/>
        <w:spacing w:after="120"/>
        <w:rPr>
          <w:rFonts w:ascii="Times New Roman" w:hAnsi="Times New Roman" w:cs="Times New Roman" w:eastAsia="Times New Roman"/>
          <w:sz w:val="20"/>
          <w:szCs w:val="20"/>
        </w:rPr>
      </w:pPr>
      <w:r>
        <w:rPr>
          <w:rFonts w:ascii="Times New Roman" w:hAnsi="Times New Roman" w:cs="Times New Roman" w:eastAsia="Times New Roman"/>
          <w:color w:val="000000"/>
          <w:sz w:val="20"/>
          <w:szCs w:val="20"/>
          <w:rtl w:val="false"/>
        </w:rPr>
        <w:t xml:space="preserve">III. a orientação para o ingressante, visando melhorar as suas condições de permanência no ambiente da educação superior (p. 5). </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 essas diretrizes e o avanço tecnológico, a utilização de TDIC vem se tornando cada vez mais necessária nos processos de ensino e de aprendiza</w:t>
      </w:r>
      <w:r>
        <w:rPr>
          <w:rFonts w:ascii="Times New Roman" w:hAnsi="Times New Roman" w:cs="Times New Roman" w:eastAsia="Times New Roman"/>
          <w:sz w:val="22"/>
          <w:szCs w:val="22"/>
          <w:rtl w:val="false"/>
        </w:rPr>
        <w:t xml:space="preserve">gem, nas diversas áreas de conhecimento. Em particular, questões relativas à Matemática do Ensino Superior têm ganhado forma no âmbito da pesquisa, e são diversos os autores que versam sobre o uso de TDIC nesse contexto, em especial nas disciplinas de CDI.</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rtl w:val="false"/>
        </w:rPr>
        <w:t xml:space="preserve">Um exemplo de autores que destacam o uso de TDIC são</w:t>
      </w:r>
      <w:r>
        <w:rPr>
          <w:sz w:val="22"/>
          <w:rtl w:val="false"/>
        </w:rPr>
        <w:t xml:space="preserve"> </w:t>
      </w:r>
      <w:r>
        <w:rPr>
          <w:rFonts w:ascii="Times New Roman" w:hAnsi="Times New Roman" w:cs="Times New Roman" w:eastAsia="Times New Roman"/>
          <w:sz w:val="22"/>
          <w:szCs w:val="22"/>
          <w:rtl w:val="false"/>
        </w:rPr>
        <w:t xml:space="preserve">Borba e Penteado (2019), que descrevem a utilização de TDIC como</w:t>
      </w:r>
      <w:r>
        <w:rPr>
          <w:sz w:val="22"/>
          <w:rtl w:val="false"/>
        </w:rPr>
        <w:t xml:space="preserve"> </w:t>
      </w:r>
      <w:r>
        <w:rPr>
          <w:rFonts w:ascii="Times New Roman" w:hAnsi="Times New Roman" w:cs="Times New Roman" w:eastAsia="Times New Roman"/>
          <w:sz w:val="22"/>
          <w:szCs w:val="22"/>
          <w:rtl w:val="false"/>
        </w:rPr>
        <w:t xml:space="preserve">aliadas ao ensino de CDI, mas muitas vezes, é relacionada somente com a fragmentação de conteúdos e substituição do professor por uma plataforma de aprendizagem virtual. Certamente, a sua utilização pode ser</w:t>
      </w:r>
      <w:r>
        <w:rPr>
          <w:rFonts w:ascii="Times New Roman" w:hAnsi="Times New Roman" w:cs="Times New Roman" w:eastAsia="Times New Roman"/>
          <w:sz w:val="22"/>
          <w:szCs w:val="22"/>
          <w:rtl w:val="false"/>
        </w:rPr>
        <w:t xml:space="preserve"> vista por muitos com receio, no que diz respeito a mudanças na forma de ensinar, pois creem que ainda não estão preparados, enquanto outros demonstram uma certa desconfiança. Assim, para que o professor comece a utilizar novas tecnologias, é preciso que e</w:t>
      </w:r>
      <w:r>
        <w:rPr>
          <w:rFonts w:ascii="Times New Roman" w:hAnsi="Times New Roman" w:cs="Times New Roman" w:eastAsia="Times New Roman"/>
          <w:sz w:val="22"/>
          <w:szCs w:val="22"/>
          <w:rtl w:val="false"/>
        </w:rPr>
        <w:t xml:space="preserve">le reflita sobre o assunto e tenha como princípio que todos podem produzir Matemática, nas suas diferentes expressões. O que nos leva a refletir sobre uma mudança no processo de ensino e aprendizagem e o uso de TDIC, em particular na disciplina de CDI 1.  </w:t>
      </w:r>
      <w:r>
        <w:rPr>
          <w:sz w:val="22"/>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Como discutido por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(2018a) as TDIC podem contribuir nessa direção, pois possibilitam visualização, reflexão e deduções para refinar o conhecimento. Os autores alertam, porém, que, por si só, nenhuma tecnologia garante tais processos. Para tanto, é necessário um cui</w:t>
      </w:r>
      <w:r>
        <w:rPr>
          <w:rFonts w:ascii="Times New Roman" w:hAnsi="Times New Roman" w:cs="Times New Roman" w:eastAsia="Times New Roman"/>
          <w:sz w:val="22"/>
          <w:szCs w:val="22"/>
          <w:rtl w:val="false"/>
        </w:rPr>
        <w:t xml:space="preserve">dadoso planejamento para utilizá-la, em especial, na elaboração, aplicação e no refinamento de tarefas que façam uso desse recurso, o que configura a importância do papel ativo do aluno frente a essas tarefas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2018b; Nonato &amp; Costa, 2021).</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rtl w:val="false"/>
        </w:rPr>
        <w:t xml:space="preserve">Como autores deste trabalho, em uma busca sobre o tema discutido, constatou-se</w:t>
      </w:r>
      <w:r>
        <w:rPr>
          <w:rFonts w:ascii="Times New Roman" w:hAnsi="Times New Roman" w:cs="Times New Roman" w:eastAsia="Times New Roman"/>
          <w:sz w:val="22"/>
          <w:szCs w:val="22"/>
          <w:rtl w:val="false"/>
        </w:rPr>
        <w:t xml:space="preserve"> </w:t>
      </w:r>
      <w:r>
        <w:rPr>
          <w:rFonts w:ascii="Times New Roman" w:hAnsi="Times New Roman" w:cs="Times New Roman" w:eastAsia="Times New Roman"/>
          <w:sz w:val="22"/>
          <w:rtl w:val="false"/>
        </w:rPr>
        <w:t xml:space="preserve">um</w:t>
      </w:r>
      <w:r>
        <w:rPr>
          <w:rFonts w:ascii="Times New Roman" w:hAnsi="Times New Roman" w:cs="Times New Roman" w:eastAsia="Times New Roman"/>
          <w:sz w:val="22"/>
          <w:szCs w:val="22"/>
          <w:rtl w:val="false"/>
        </w:rPr>
        <w:t xml:space="preserve">a escassez de pesquisas com foco no uso de OA com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para a autorregulação da aprendizagem de CDI e Pré Cálculo. Justifica-se a partir deste contexto</w:t>
      </w:r>
      <w:r>
        <w:rPr>
          <w:rFonts w:ascii="Times New Roman" w:hAnsi="Times New Roman" w:cs="Times New Roman" w:eastAsia="Times New Roman"/>
          <w:sz w:val="22"/>
          <w:szCs w:val="22"/>
          <w:rtl w:val="false"/>
        </w:rPr>
        <w:t xml:space="preserve"> a necessidade de um olhar mais atento para essa questão, e um estudo mais aprofundado sobre esse tema relevante para o ensino e a aprendizagem de CDI.</w:t>
      </w:r>
      <w:r>
        <w:rPr>
          <w:sz w:val="22"/>
        </w:rPr>
      </w:r>
      <w:r/>
    </w:p>
    <w:p>
      <w:pPr>
        <w:ind w:firstLine="709"/>
        <w:jc w:val="both"/>
        <w:spacing w:after="120"/>
        <w:rPr>
          <w:rFonts w:ascii="Times New Roman" w:hAnsi="Times New Roman" w:cs="Times New Roman" w:eastAsia="Times New Roman"/>
          <w:sz w:val="22"/>
          <w:szCs w:val="22"/>
        </w:rPr>
      </w:pPr>
      <w:r>
        <w:rPr>
          <w:rtl w:val="false"/>
        </w:rPr>
      </w:r>
      <w:r/>
    </w:p>
    <w:p>
      <w:pPr>
        <w:ind w:firstLine="709"/>
        <w:jc w:val="both"/>
        <w:spacing w:after="120"/>
        <w:rPr>
          <w:rFonts w:ascii="Times New Roman" w:hAnsi="Times New Roman" w:cs="Times New Roman" w:eastAsia="Times New Roman"/>
          <w:b/>
        </w:rPr>
      </w:pPr>
      <w:r>
        <w:rPr>
          <w:rFonts w:ascii="Times New Roman" w:hAnsi="Times New Roman" w:cs="Times New Roman" w:eastAsia="Times New Roman"/>
          <w:b/>
          <w:sz w:val="22"/>
          <w:szCs w:val="22"/>
          <w:rtl w:val="false"/>
        </w:rPr>
        <w:t xml:space="preserve">Objetos de Aprendizagem</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Os </w:t>
      </w:r>
      <w:r>
        <w:rPr>
          <w:rFonts w:ascii="Times New Roman" w:hAnsi="Times New Roman" w:cs="Times New Roman" w:eastAsia="Times New Roman"/>
          <w:sz w:val="22"/>
          <w:szCs w:val="22"/>
          <w:rtl w:val="false"/>
        </w:rPr>
        <w:t xml:space="preserve">OA, neste trabalho, são vistos como um recurso cognitivo para auxiliar e ampliar o ensino e a aprendizagem com características peculiares, dentre as quais destacam-se a reusabilidade, a granularidade, a acessibilidade e a interoperabilidade. A reusabilidad</w:t>
      </w:r>
      <w:r>
        <w:rPr>
          <w:rFonts w:ascii="Times New Roman" w:hAnsi="Times New Roman" w:cs="Times New Roman" w:eastAsia="Times New Roman"/>
          <w:sz w:val="22"/>
          <w:szCs w:val="22"/>
          <w:rtl w:val="false"/>
        </w:rPr>
        <w:t xml:space="preserve">e está ligada ao seu tamanho: quanto menor, mais fácil de ser reutilizado. Deve-se, porém, tomar cuidado para que sejam pequenos e com relevância de conteúdo. A granularidade objetiva que o OA seja uma unidade modular que possa ser combinada para formar un</w:t>
      </w:r>
      <w:r>
        <w:rPr>
          <w:rFonts w:ascii="Times New Roman" w:hAnsi="Times New Roman" w:cs="Times New Roman" w:eastAsia="Times New Roman"/>
          <w:sz w:val="22"/>
          <w:szCs w:val="22"/>
          <w:rtl w:val="false"/>
        </w:rPr>
        <w:t xml:space="preserve">idades maiores. A acessibilidade visa a determinar como um OA pode ser encontrado e acessado, e é desejável que isso ocorra pela Internet. A interoperabilidade diz respeito à utilização do OA em diversas plataformas e sistemas operacionais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2014).</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 esta definição de OA, pode-se pensar em uma maior interação entre o aluno e o conteúdo matemático na disciplina de CDI. Inspirando-se</w:t>
      </w:r>
      <w:r>
        <w:rPr>
          <w:rtl w:val="false"/>
        </w:rPr>
        <w:t xml:space="preserve">     </w:t>
      </w:r>
      <w:r>
        <w:rPr>
          <w:rFonts w:ascii="Times New Roman" w:hAnsi="Times New Roman" w:cs="Times New Roman" w:eastAsia="Times New Roman"/>
          <w:sz w:val="22"/>
          <w:szCs w:val="22"/>
          <w:rtl w:val="false"/>
        </w:rPr>
        <w:t xml:space="preserve"> no trabalho de </w:t>
      </w:r>
      <w:r>
        <w:rPr>
          <w:rFonts w:ascii="Times New Roman" w:hAnsi="Times New Roman" w:cs="Times New Roman" w:eastAsia="Times New Roman"/>
          <w:sz w:val="22"/>
          <w:szCs w:val="22"/>
          <w:rtl w:val="false"/>
        </w:rPr>
        <w:t xml:space="preserve">Autor </w:t>
      </w:r>
      <w:r>
        <w:rPr>
          <w:rFonts w:ascii="Times New Roman" w:hAnsi="Times New Roman" w:cs="Times New Roman" w:eastAsia="Times New Roman"/>
          <w:sz w:val="22"/>
          <w:szCs w:val="22"/>
          <w:rtl w:val="false"/>
        </w:rPr>
        <w:t xml:space="preserve">(2014), que propõe a construção de OA na Fe</w:t>
      </w:r>
      <w:r>
        <w:rPr>
          <w:rFonts w:ascii="Times New Roman" w:hAnsi="Times New Roman" w:cs="Times New Roman" w:eastAsia="Times New Roman"/>
          <w:sz w:val="22"/>
          <w:szCs w:val="22"/>
          <w:rtl w:val="false"/>
        </w:rPr>
        <w:t xml:space="preserve">rramenta de Autoria para a Remediação de Erros com Mobilidade na Aprendizagem (FARMA) para remediação de conteúdos matemáticos, este trabalho vislumbra-os como uma alternativa às dificuldades e necessidade supracitadas sobre o desempenho dos alunos em CDI.</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De acordo com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(2015), a FARMA permite a construção de tarefas voltadas à aprendizagem de conceitos de indução analítica que envolvem expressões aritméticas e/ou algébricas. Sua principal característica é ser uma ferramenta simples e objetiva para o desenvolvimento</w:t>
      </w:r>
      <w:r>
        <w:rPr>
          <w:rFonts w:ascii="Times New Roman" w:hAnsi="Times New Roman" w:cs="Times New Roman" w:eastAsia="Times New Roman"/>
          <w:sz w:val="22"/>
          <w:szCs w:val="22"/>
          <w:rtl w:val="false"/>
        </w:rPr>
        <w:t xml:space="preserve"> de OA altamente interativos e promover uma aprendizagem por erros, os quais são registrados desde a hora em que ocorrem. Com isso, os alunos podem, posteriormente, explorar seus próprios erros, além de permitir que os professores tenham acesso integrado o</w:t>
      </w:r>
      <w:r>
        <w:rPr>
          <w:rFonts w:ascii="Times New Roman" w:hAnsi="Times New Roman" w:cs="Times New Roman" w:eastAsia="Times New Roman"/>
          <w:sz w:val="22"/>
          <w:szCs w:val="22"/>
          <w:rtl w:val="false"/>
        </w:rPr>
        <w:t xml:space="preserve">u individual aos resultados de seus alunos. Desse modo, os OA criados na FARMA podem ser utilizados como instrumentos de diagnóstico e, também, para remediação/intervenção de erros cometidos pelos alunos durante seu processo inicial de aprendizagem de CDI.</w:t>
      </w:r>
      <w:r/>
    </w:p>
    <w:p>
      <w:pPr>
        <w:ind w:firstLine="709"/>
        <w:jc w:val="both"/>
        <w:spacing w:after="120"/>
        <w:rPr>
          <w:rFonts w:ascii="Times New Roman" w:hAnsi="Times New Roman" w:cs="Times New Roman" w:eastAsia="Times New Roman"/>
          <w:sz w:val="22"/>
          <w:szCs w:val="22"/>
          <w:highlight w:val="none"/>
        </w:rPr>
      </w:pPr>
      <w:r>
        <w:rPr>
          <w:rFonts w:ascii="Times New Roman" w:hAnsi="Times New Roman" w:cs="Times New Roman" w:eastAsia="Times New Roman"/>
          <w:sz w:val="22"/>
          <w:szCs w:val="22"/>
          <w:rtl w:val="false"/>
        </w:rPr>
        <w:t xml:space="preserve">A ferramenta já vem sendo investig</w:t>
      </w:r>
      <w:r>
        <w:rPr>
          <w:rFonts w:ascii="Times New Roman" w:hAnsi="Times New Roman" w:cs="Times New Roman" w:eastAsia="Times New Roman"/>
          <w:sz w:val="22"/>
          <w:szCs w:val="22"/>
          <w:rtl w:val="false"/>
        </w:rPr>
        <w:t xml:space="preserve">ada e adaptada em trabalhos, como em Pereira (2018), que desenvolveu OA na FARMA, abrangendo conteúdos de geometria essenciais para a aprendizagem de alunos do 9º ano do Ensino Fundamental. No Ensino Superior, Kutzke e Direne (2018) realizaram um estudo so</w:t>
      </w:r>
      <w:r>
        <w:rPr>
          <w:rFonts w:ascii="Times New Roman" w:hAnsi="Times New Roman" w:cs="Times New Roman" w:eastAsia="Times New Roman"/>
          <w:sz w:val="22"/>
          <w:szCs w:val="22"/>
          <w:rtl w:val="false"/>
        </w:rPr>
        <w:t xml:space="preserve">bre a mediação do erro no ensino de programação de computadores, descrevendo a proposta de um arcabouço de sistema para a manipulação de registros de erros (FARMA-ALG) que promova a mediação do erro com participação efetiva do professor. Já no trabalho de </w:t>
      </w:r>
      <w:r>
        <w:rPr>
          <w:rFonts w:ascii="Times New Roman" w:hAnsi="Times New Roman" w:cs="Times New Roman" w:eastAsia="Times New Roman"/>
          <w:color w:val="222222"/>
          <w:sz w:val="22"/>
          <w:szCs w:val="22"/>
          <w:highlight w:val="white"/>
          <w:rtl w:val="false"/>
        </w:rPr>
        <w:t xml:space="preserve">Silva</w:t>
      </w:r>
      <w:r>
        <w:rPr>
          <w:rFonts w:ascii="Times New Roman" w:hAnsi="Times New Roman" w:cs="Times New Roman" w:eastAsia="Times New Roman"/>
          <w:i/>
          <w:color w:val="222222"/>
          <w:sz w:val="22"/>
          <w:szCs w:val="22"/>
          <w:highlight w:val="white"/>
          <w:rtl w:val="false"/>
        </w:rPr>
        <w:t xml:space="preserve"> </w:t>
      </w:r>
      <w:r>
        <w:rPr>
          <w:rFonts w:ascii="Times New Roman" w:hAnsi="Times New Roman" w:cs="Times New Roman" w:eastAsia="Times New Roman"/>
          <w:color w:val="222222"/>
          <w:sz w:val="22"/>
          <w:szCs w:val="22"/>
          <w:highlight w:val="white"/>
          <w:rtl w:val="false"/>
        </w:rPr>
        <w:t xml:space="preserve">et al</w:t>
      </w:r>
      <w:r>
        <w:rPr>
          <w:rFonts w:ascii="Times New Roman" w:hAnsi="Times New Roman" w:cs="Times New Roman" w:eastAsia="Times New Roman"/>
          <w:i/>
          <w:color w:val="222222"/>
          <w:sz w:val="22"/>
          <w:szCs w:val="22"/>
          <w:highlight w:val="white"/>
          <w:rtl w:val="false"/>
        </w:rPr>
        <w:t xml:space="preserve">. </w:t>
      </w:r>
      <w:r>
        <w:rPr>
          <w:rFonts w:ascii="Times New Roman" w:hAnsi="Times New Roman" w:cs="Times New Roman" w:eastAsia="Times New Roman"/>
          <w:color w:val="222222"/>
          <w:sz w:val="22"/>
          <w:szCs w:val="22"/>
          <w:highlight w:val="white"/>
          <w:rtl w:val="false"/>
        </w:rPr>
        <w:t xml:space="preserve">(2018), os autores</w:t>
      </w:r>
      <w:r>
        <w:rPr>
          <w:rFonts w:ascii="Times New Roman" w:hAnsi="Times New Roman" w:cs="Times New Roman" w:eastAsia="Times New Roman"/>
          <w:i/>
          <w:color w:val="222222"/>
          <w:sz w:val="22"/>
          <w:szCs w:val="22"/>
          <w:highlight w:val="white"/>
          <w:rtl w:val="false"/>
        </w:rPr>
        <w:t xml:space="preserve"> </w:t>
      </w:r>
      <w:r>
        <w:rPr>
          <w:rFonts w:ascii="Times New Roman" w:hAnsi="Times New Roman" w:cs="Times New Roman" w:eastAsia="Times New Roman"/>
          <w:sz w:val="22"/>
          <w:szCs w:val="22"/>
          <w:rtl w:val="false"/>
        </w:rPr>
        <w:t xml:space="preserve">apresentam a ADAPTFARMA, uma versão modificada da FARMA, que consiste de uma sequência de exercícios após uma introdução, que é a parte teórica de um OA em que conceitos são definidos através de texto, image</w:t>
      </w:r>
      <w:r>
        <w:rPr>
          <w:rFonts w:ascii="Times New Roman" w:hAnsi="Times New Roman" w:cs="Times New Roman" w:eastAsia="Times New Roman"/>
          <w:sz w:val="22"/>
          <w:szCs w:val="22"/>
          <w:rtl w:val="false"/>
        </w:rPr>
        <w:t xml:space="preserve">ns, áudios e vídeos. Na mesma linha da FARMA-ALG e ADAPTFARMA, o trabalho pretende, em uma segunda fase, adaptar uma versão da FARMA que seja específica para a remediação de erros e autorregulação da aprendizagem de conceitos de CDI, denominada FARMA-CALC.</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highlight w:val="none"/>
          <w:rtl w:val="false"/>
        </w:rPr>
      </w:r>
      <w:r>
        <w:rPr>
          <w:rFonts w:ascii="Times New Roman" w:hAnsi="Times New Roman" w:cs="Times New Roman" w:eastAsia="Times New Roman"/>
          <w:sz w:val="22"/>
          <w:szCs w:val="22"/>
          <w:highlight w:val="none"/>
          <w:rtl w:val="false"/>
        </w:rPr>
      </w:r>
      <w:r/>
    </w:p>
    <w:p>
      <w:pPr>
        <w:ind w:firstLine="709"/>
        <w:jc w:val="both"/>
        <w:spacing w:after="120"/>
        <w:rPr>
          <w:rFonts w:ascii="Times New Roman" w:hAnsi="Times New Roman" w:cs="Times New Roman" w:eastAsia="Times New Roman"/>
          <w:b/>
        </w:rPr>
      </w:pPr>
      <w:r>
        <w:rPr>
          <w:rFonts w:ascii="Times New Roman" w:hAnsi="Times New Roman" w:cs="Times New Roman" w:eastAsia="Times New Roman"/>
          <w:b/>
          <w:sz w:val="22"/>
          <w:szCs w:val="22"/>
          <w:rtl w:val="false"/>
        </w:rPr>
        <w:t xml:space="preserve">Remediação de Erros e Autorregulação da Aprendizagem</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 remediação de erros constitui um elemento fu</w:t>
      </w:r>
      <w:r>
        <w:rPr>
          <w:rFonts w:ascii="Times New Roman" w:hAnsi="Times New Roman" w:cs="Times New Roman" w:eastAsia="Times New Roman"/>
          <w:sz w:val="22"/>
          <w:szCs w:val="22"/>
          <w:rtl w:val="false"/>
        </w:rPr>
        <w:t xml:space="preserve">ndamental na construção de conceitos. A partir dos erros, é possível que o aluno amplie mais sua base de conhecimentos, ou seja, remediar significa, nesse caso, auxiliar o aprendiz a se recuperar de um erro (Leite et al., 2013; Ferreira &amp; Pimentel, 2016).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Por meio do erro, podem-se oferecer duas principais formas de aprendizagem: a remediação de erros, na qual o aluno recebe um </w:t>
      </w:r>
      <w:r>
        <w:rPr>
          <w:rFonts w:ascii="Times New Roman" w:hAnsi="Times New Roman" w:cs="Times New Roman" w:eastAsia="Times New Roman"/>
          <w:i/>
          <w:sz w:val="22"/>
          <w:szCs w:val="22"/>
          <w:rtl w:val="false"/>
        </w:rPr>
        <w:t xml:space="preserve">feedback</w:t>
      </w:r>
      <w:r>
        <w:rPr>
          <w:rFonts w:ascii="Times New Roman" w:hAnsi="Times New Roman" w:cs="Times New Roman" w:eastAsia="Times New Roman"/>
          <w:sz w:val="22"/>
          <w:szCs w:val="22"/>
          <w:rtl w:val="false"/>
        </w:rPr>
        <w:t xml:space="preserve"> imediato sobre a falha, permitindo a sua </w:t>
      </w:r>
      <w:r>
        <w:rPr>
          <w:rFonts w:ascii="Times New Roman" w:hAnsi="Times New Roman" w:cs="Times New Roman" w:eastAsia="Times New Roman"/>
          <w:sz w:val="22"/>
          <w:szCs w:val="22"/>
          <w:rtl w:val="false"/>
        </w:rPr>
        <w:t xml:space="preserve">recuperação e a continuação dos estudos; e a retroação aos erros, em que o aprendiz pode explorar os seus erros e, a partir disso, tentar refazer a interação em que o erro foi cometido para entender seu motivo e, então, solucioná-lo (</w:t>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2015).</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Neste trabalho, o termo “remediação” é entendido como um conjunto de intervenções feitas pelo professor em um processo de ensino associado à regulação da aprendizagem, que tem o papel de fornecer informação de retorno (</w:t>
      </w:r>
      <w:r>
        <w:rPr>
          <w:rFonts w:ascii="Times New Roman" w:hAnsi="Times New Roman" w:cs="Times New Roman" w:eastAsia="Times New Roman"/>
          <w:i/>
          <w:sz w:val="22"/>
          <w:szCs w:val="22"/>
          <w:rtl w:val="false"/>
        </w:rPr>
        <w:t xml:space="preserve">feedback</w:t>
      </w:r>
      <w:r>
        <w:rPr>
          <w:rFonts w:ascii="Times New Roman" w:hAnsi="Times New Roman" w:cs="Times New Roman" w:eastAsia="Times New Roman"/>
          <w:sz w:val="22"/>
          <w:szCs w:val="22"/>
          <w:rtl w:val="false"/>
        </w:rPr>
        <w:t xml:space="preserve">). O retorno pode otimizar e regular a aprendizagem, fazendo com que o aluno alcance pleno conhecimento de um conteúdo. Uma das funções anexas da regulação é o </w:t>
      </w:r>
      <w:r>
        <w:rPr>
          <w:rFonts w:ascii="Times New Roman" w:hAnsi="Times New Roman" w:cs="Times New Roman" w:eastAsia="Times New Roman"/>
          <w:i/>
          <w:sz w:val="22"/>
          <w:szCs w:val="22"/>
          <w:rtl w:val="false"/>
        </w:rPr>
        <w:t xml:space="preserve">feedback</w:t>
      </w:r>
      <w:r>
        <w:rPr>
          <w:rFonts w:ascii="Times New Roman" w:hAnsi="Times New Roman" w:cs="Times New Roman" w:eastAsia="Times New Roman"/>
          <w:sz w:val="22"/>
          <w:szCs w:val="22"/>
          <w:rtl w:val="false"/>
        </w:rPr>
        <w:t xml:space="preserve">, que deve fornecer informações necessárias em etapas vencidas e nas dificuldades encontradas durante uma atividade (Mendes, 2014; Mendes et al., 2014).</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Define-se </w:t>
      </w:r>
      <w:r>
        <w:rPr>
          <w:rFonts w:ascii="Times New Roman" w:hAnsi="Times New Roman" w:cs="Times New Roman" w:eastAsia="Times New Roman"/>
          <w:i/>
          <w:sz w:val="22"/>
          <w:szCs w:val="22"/>
          <w:rtl w:val="false"/>
        </w:rPr>
        <w:t xml:space="preserve">feedback </w:t>
      </w:r>
      <w:r>
        <w:rPr>
          <w:rFonts w:ascii="Times New Roman" w:hAnsi="Times New Roman" w:cs="Times New Roman" w:eastAsia="Times New Roman"/>
          <w:sz w:val="22"/>
          <w:szCs w:val="22"/>
          <w:rtl w:val="false"/>
        </w:rPr>
        <w:t xml:space="preserve">como um conjunto de informações fornecidas ao estudante sobre o seu desempenho, que modelam o seu conhecimento e auxiliam em seu processo de aprendizagem </w:t>
      </w:r>
      <w:r>
        <w:rPr>
          <w:rFonts w:ascii="Times New Roman" w:hAnsi="Times New Roman" w:cs="Times New Roman" w:eastAsia="Times New Roman"/>
          <w:sz w:val="22"/>
          <w:szCs w:val="22"/>
          <w:rtl w:val="false"/>
        </w:rPr>
        <w:t xml:space="preserve">(Costa et al. 2016). Os autores referem-se ao </w:t>
      </w:r>
      <w:r>
        <w:rPr>
          <w:rFonts w:ascii="Times New Roman" w:hAnsi="Times New Roman" w:cs="Times New Roman" w:eastAsia="Times New Roman"/>
          <w:i/>
          <w:sz w:val="22"/>
          <w:szCs w:val="22"/>
          <w:rtl w:val="false"/>
        </w:rPr>
        <w:t xml:space="preserve">feedback</w:t>
      </w:r>
      <w:r>
        <w:rPr>
          <w:rFonts w:ascii="Times New Roman" w:hAnsi="Times New Roman" w:cs="Times New Roman" w:eastAsia="Times New Roman"/>
          <w:sz w:val="22"/>
          <w:szCs w:val="22"/>
          <w:rtl w:val="false"/>
        </w:rPr>
        <w:t xml:space="preserve"> como um recurso pedagógico que pode despertar uma ação reflexiva nos estudantes e que contribua para sua aprendizagem.</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Nesse contexto, vários autores exploram a ideia do uso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em ambientes virtuais para o ensino de Matemática. Melo et al. (2018) apresentam uma proposta de uso de </w:t>
      </w:r>
      <w:r>
        <w:rPr>
          <w:rFonts w:ascii="Times New Roman" w:hAnsi="Times New Roman" w:cs="Times New Roman" w:eastAsia="Times New Roman"/>
          <w:i/>
          <w:sz w:val="22"/>
          <w:szCs w:val="22"/>
          <w:rtl w:val="false"/>
        </w:rPr>
        <w:t xml:space="preserve">vídeo-feedbacks</w:t>
      </w:r>
      <w:r>
        <w:rPr>
          <w:rFonts w:ascii="Times New Roman" w:hAnsi="Times New Roman" w:cs="Times New Roman" w:eastAsia="Times New Roman"/>
          <w:sz w:val="22"/>
          <w:szCs w:val="22"/>
          <w:rtl w:val="false"/>
        </w:rPr>
        <w:t xml:space="preserve"> em atividades desenvolvidas na disciplina de Matemática do Ensino Médio. O objetivo de utilizar </w:t>
      </w:r>
      <w:r>
        <w:rPr>
          <w:rFonts w:ascii="Times New Roman" w:hAnsi="Times New Roman" w:cs="Times New Roman" w:eastAsia="Times New Roman"/>
          <w:i/>
          <w:sz w:val="22"/>
          <w:szCs w:val="22"/>
          <w:rtl w:val="false"/>
        </w:rPr>
        <w:t xml:space="preserve">vídeo-feedbacks</w:t>
      </w:r>
      <w:r>
        <w:rPr>
          <w:rFonts w:ascii="Times New Roman" w:hAnsi="Times New Roman" w:cs="Times New Roman" w:eastAsia="Times New Roman"/>
          <w:sz w:val="22"/>
          <w:szCs w:val="22"/>
          <w:rtl w:val="false"/>
        </w:rPr>
        <w:t xml:space="preserve"> imediatos era promover a melhoria do desempenho do aluno de forma personalizada. Cordeiro et al. (2021) avaliam o uso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em Jogos Educacionais Digitais (JEDs), voltados ao ensino de operações básicas de Matemática, e apontam que não foi observado o uso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efetivos nos quatro JEDs de Matemática av</w:t>
      </w:r>
      <w:r>
        <w:rPr>
          <w:rFonts w:ascii="Times New Roman" w:hAnsi="Times New Roman" w:cs="Times New Roman" w:eastAsia="Times New Roman"/>
          <w:sz w:val="22"/>
          <w:szCs w:val="22"/>
          <w:rtl w:val="false"/>
        </w:rPr>
        <w:t xml:space="preserve">a</w:t>
      </w:r>
      <w:r>
        <w:rPr>
          <w:rFonts w:ascii="Times New Roman" w:hAnsi="Times New Roman" w:cs="Times New Roman" w:eastAsia="Times New Roman"/>
          <w:sz w:val="22"/>
          <w:szCs w:val="22"/>
          <w:rtl w:val="false"/>
        </w:rPr>
        <w:t xml:space="preserve">liados. Ressaltam, porém, que seu uso poderia contribuir para um melhor desempenho do aluno nessa área. Referindo-se ao ensino remoto, Nóbriga e Dantas (2021) apresentaram uma proposta de atividade a ser realizada no GeoGebra e que contenha exercícios com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automáticos. O artigo tem por objetivo provocar na comunidade acadêmica reflexões e debates sobre o uso de materiais didáticos com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automáticos no ensino de Matemática.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Leite et al. (2013) propõem a remediação de erros por meio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que se utilizam de Múltiplas Representações Externas em Objetos de Aprendizagem implementado</w:t>
      </w:r>
      <w:r>
        <w:rPr>
          <w:rFonts w:ascii="Times New Roman" w:hAnsi="Times New Roman" w:cs="Times New Roman" w:eastAsia="Times New Roman"/>
          <w:sz w:val="22"/>
          <w:szCs w:val="22"/>
          <w:rtl w:val="false"/>
        </w:rPr>
        <w:t xml:space="preserve">s na FARMA. Os autores apresentam a aplicação do Objeto de Aprendizagem Pitágoras e apontam que ele permitiu que os alunos aprofundassem seus conhecimentos conceituais usando  as  conexões,  que  foram  adquiridas  através  da  manipulação  do  próprio OA.</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Destacamos, em especial, a elaboração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voltados para a melhoria do conhecimento do aluno e que auxiliem na sua aprendizagem de conceitos matemáticos necessários para o CDI, os quais serão fornecidos automaticamente por meio da interação com OA na plataforma FARMA. Os tipos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adotados</w:t>
      </w:r>
      <w:r>
        <w:rPr>
          <w:rFonts w:ascii="Times New Roman" w:hAnsi="Times New Roman" w:cs="Times New Roman" w:eastAsia="Times New Roman"/>
          <w:sz w:val="22"/>
          <w:szCs w:val="22"/>
          <w:rtl w:val="false"/>
        </w:rPr>
        <w:t xml:space="preserve"> nesta pesquisa são: definição matemática do conceito abordado na questão; apresentação de outro registro de representação para o conceito; explicação curta da questão; sugestão de vídeo, com abordagem dos conceitos, a partir de repositórios já existentes.</w:t>
      </w:r>
      <w:r/>
    </w:p>
    <w:p>
      <w:pPr>
        <w:ind w:firstLine="709"/>
        <w:jc w:val="both"/>
        <w:spacing w:after="120"/>
        <w:rPr>
          <w:rFonts w:ascii="Times New Roman" w:hAnsi="Times New Roman" w:cs="Times New Roman" w:eastAsia="Times New Roman"/>
          <w:sz w:val="22"/>
          <w:szCs w:val="22"/>
        </w:rPr>
      </w:pPr>
      <w:r>
        <w:rPr>
          <w:rtl w:val="false"/>
        </w:rPr>
      </w:r>
      <w:r/>
    </w:p>
    <w:p>
      <w:pPr>
        <w:ind w:firstLine="709"/>
        <w:spacing w:line="360" w:lineRule="auto"/>
        <w:rPr>
          <w:rFonts w:ascii="Times New Roman" w:hAnsi="Times New Roman" w:cs="Times New Roman" w:eastAsia="Times New Roman"/>
          <w:sz w:val="22"/>
          <w:szCs w:val="22"/>
        </w:rPr>
      </w:pPr>
      <w:r>
        <w:rPr>
          <w:rFonts w:ascii="Times New Roman" w:hAnsi="Times New Roman" w:cs="Times New Roman" w:eastAsia="Times New Roman"/>
          <w:b/>
          <w:rtl w:val="false"/>
        </w:rPr>
        <w:t xml:space="preserve">METODOLOGIA</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Nesta seção, apresenta-se</w:t>
      </w:r>
      <w:r>
        <w:rPr>
          <w:rFonts w:ascii="Times New Roman" w:hAnsi="Times New Roman" w:cs="Times New Roman" w:eastAsia="Times New Roman"/>
          <w:sz w:val="22"/>
          <w:szCs w:val="22"/>
          <w:rtl w:val="false"/>
        </w:rPr>
        <w:t xml:space="preserve"> uma descrição dos procedimentos metodológicos da pesquisa da qual este artigo é recorte. Em busca de respostas às questões de pesquisa levantadas na introdução, conceitos teóricos apresentados na seção anterior foram aliados à intenção de conceber OA com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que possam ser utilizados como instrumento que possibilite aos estudantes autorregulação de conceitos matemáticos necessários à aprendizagem de</w:t>
      </w:r>
      <w:r>
        <w:rPr>
          <w:rtl w:val="false"/>
        </w:rPr>
        <w:t xml:space="preserve"> </w:t>
      </w:r>
      <w:r>
        <w:rPr>
          <w:rFonts w:ascii="Times New Roman" w:hAnsi="Times New Roman" w:cs="Times New Roman" w:eastAsia="Times New Roman"/>
          <w:sz w:val="22"/>
          <w:szCs w:val="22"/>
          <w:rtl w:val="false"/>
        </w:rPr>
        <w:t xml:space="preserve">CDI.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 vista disso, optou-se por uma investigação de natureza qualitativa de cunho interpretativo (Bogdan &amp; Biklen, 1994), orientada pelas diretrizes do </w:t>
      </w:r>
      <w:r>
        <w:rPr>
          <w:rFonts w:ascii="Times New Roman" w:hAnsi="Times New Roman" w:cs="Times New Roman" w:eastAsia="Times New Roman"/>
          <w:i/>
          <w:sz w:val="22"/>
          <w:szCs w:val="22"/>
          <w:rtl w:val="false"/>
        </w:rPr>
        <w:t xml:space="preserve">Design Science Research</w:t>
      </w:r>
      <w:r>
        <w:rPr>
          <w:rFonts w:ascii="Times New Roman" w:hAnsi="Times New Roman" w:cs="Times New Roman" w:eastAsia="Times New Roman"/>
          <w:sz w:val="22"/>
          <w:szCs w:val="22"/>
          <w:rtl w:val="false"/>
        </w:rPr>
        <w:t xml:space="preserve"> - DSR (Dresch et al., 2015; Brocke et al., 2020). A DSR é caracterizada como um processo metodológico para conduzir uma pesquisa com um caráter m</w:t>
      </w:r>
      <w:r>
        <w:rPr>
          <w:rFonts w:ascii="Times New Roman" w:hAnsi="Times New Roman" w:cs="Times New Roman" w:eastAsia="Times New Roman"/>
          <w:sz w:val="22"/>
          <w:szCs w:val="22"/>
          <w:rtl w:val="false"/>
        </w:rPr>
        <w:t xml:space="preserve">ais rigoroso. Além de apresentar modos de conceber o conhecimento e de realizar pesquisas científicas, a DSR também pode ser vista como um conjunto de técnicas analíticas que permitem o desenvolvimento de pesquisas em diversas áreas (Lacerda et al., 2013).</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Apesar da DSR originalmente ter sido aplicada na Engenharia, pode-se observar sua crescente utilização em diversas áreas de pesquisa. Em Sistemas de Informação, por exemplo, Rocha et al. (2014) descrevem o processo e os resultados de uma pesqu</w:t>
      </w:r>
      <w:r>
        <w:rPr>
          <w:rFonts w:ascii="Times New Roman" w:hAnsi="Times New Roman" w:cs="Times New Roman" w:eastAsia="Times New Roman"/>
          <w:sz w:val="22"/>
          <w:szCs w:val="22"/>
          <w:rtl w:val="false"/>
        </w:rPr>
        <w:t xml:space="preserve">isa realizada sobre a influência do tamanho do grupo na participação em bate-papo educacional, na qual a DSR orientou a realização de uma pesquisa comportamental e a produção de um artefato (modelo matemático para estimar o tamanho do grupo de bate-papo).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Na Educação, Pimentel et al. (2020) apresentam a pesquisa sobre os Tapetes Musicais Inteligentes, em que o método da DSR está atrelado ao processo de pensar-fazer. Na área do Ensino, Szesz Junior (2021) apresenta u</w:t>
      </w:r>
      <w:r>
        <w:rPr>
          <w:rFonts w:ascii="Times New Roman" w:hAnsi="Times New Roman" w:cs="Times New Roman" w:eastAsia="Times New Roman"/>
          <w:sz w:val="22"/>
          <w:szCs w:val="22"/>
          <w:rtl w:val="false"/>
        </w:rPr>
        <w:t xml:space="preserve">ma Tecnologia Assistiva, denominada MATH2TEXT, que possibilita aos alunos cegos acesso a expressões matemáticas por meio do computador. A DSR também é uma das metodologias sugeridas pela Comissão Especial de Informática na Educação (Pimentel et al., 2020).</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Em DSR, o artefato é projetado com base em conjecturas teóricas, e a avaliação do artefato fornece nov</w:t>
      </w:r>
      <w:r>
        <w:rPr>
          <w:rFonts w:ascii="Times New Roman" w:hAnsi="Times New Roman" w:cs="Times New Roman" w:eastAsia="Times New Roman"/>
          <w:sz w:val="22"/>
          <w:szCs w:val="22"/>
          <w:rtl w:val="false"/>
        </w:rPr>
        <w:t xml:space="preserve">os dados sobre as conjecturas elaboradas visando aumentar o conhecimento teórico (Rocha et al., 2014). Na Figura 1 está representado um mapa conceitual dos princípios da DSR, aplicada para esta pesquisa. Também segue os princípios de Hevner et al. (2004). </w:t>
      </w:r>
      <w:r/>
    </w:p>
    <w:p>
      <w:pPr>
        <w:ind w:left="709" w:firstLine="0"/>
        <w:jc w:val="both"/>
        <w:spacing w:after="120" w:line="276" w:lineRule="auto"/>
        <w:rPr>
          <w:color w:val="000000"/>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0"/>
          <w:szCs w:val="20"/>
          <w:highlight w:val="none"/>
          <w:rtl w:val="false"/>
        </w:rPr>
      </w:r>
      <w:r>
        <w:rPr>
          <w:rFonts w:ascii="Times New Roman" w:hAnsi="Times New Roman" w:cs="Times New Roman" w:eastAsia="Times New Roman"/>
          <w:b/>
          <w:color w:val="000000"/>
          <w:sz w:val="20"/>
          <w:szCs w:val="20"/>
          <w:highlight w:val="none"/>
          <w:rtl w:val="false"/>
        </w:rPr>
      </w:r>
    </w:p>
    <w:p>
      <w:pPr>
        <w:ind w:left="709" w:firstLine="0"/>
        <w:jc w:val="both"/>
        <w:spacing w:after="120" w:line="276" w:lineRule="auto"/>
        <w:rPr>
          <w:rFonts w:ascii="Times New Roman" w:hAnsi="Times New Roman" w:cs="Times New Roman" w:eastAsia="Times New Roman"/>
          <w:b/>
          <w:color w:val="000000"/>
          <w:sz w:val="20"/>
          <w:szCs w:val="20"/>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0"/>
          <w:szCs w:val="20"/>
          <w:rtl w:val="false"/>
        </w:rPr>
        <w:t xml:space="preserve">Figura 1</w:t>
      </w:r>
      <w:r>
        <w:rPr>
          <w:rtl w:val="false"/>
        </w:rPr>
      </w:r>
      <w:r/>
    </w:p>
    <w:p>
      <w:pPr>
        <w:ind w:left="709" w:firstLine="0"/>
        <w:jc w:val="both"/>
        <w:spacing w:after="120" w:line="276" w:lineRule="auto"/>
        <w:rPr>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i/>
          <w:color w:val="000000"/>
          <w:sz w:val="22"/>
          <w:szCs w:val="22"/>
          <w:rtl w:val="false"/>
        </w:rPr>
        <w:t xml:space="preserve">Mapeamento dos elementos da DSR na construção dos OA. (Hevner et al., 2004)</w:t>
      </w:r>
      <w:r>
        <w:rPr>
          <w:rtl w:val="false"/>
        </w:rPr>
      </w:r>
      <w:r/>
    </w:p>
    <w:p>
      <w:pPr>
        <w:jc w:val="center"/>
        <w:spacing w:after="120" w:line="276" w:lineRule="auto"/>
        <w:rPr>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color w:val="000000"/>
        </w:rPr>
        <mc:AlternateContent>
          <mc:Choice Requires="wpg">
            <w:drawing>
              <wp:inline xmlns:wp="http://schemas.openxmlformats.org/drawingml/2006/wordprocessingDrawing" distT="0" distB="0" distL="0" distR="0">
                <wp:extent cx="3523432" cy="2435236"/>
                <wp:effectExtent l="0" t="0" r="0" b="0"/>
                <wp:docPr id="3" name="image8.png" hidden="0"/>
                <wp:cNvGraphicFramePr/>
                <a:graphic xmlns:a="http://schemas.openxmlformats.org/drawingml/2006/main">
                  <a:graphicData uri="http://schemas.openxmlformats.org/drawingml/2006/picture">
                    <pic:pic xmlns:pic="http://schemas.openxmlformats.org/drawingml/2006/picture">
                      <pic:nvPicPr>
                        <pic:cNvPr id="0" name="image8.png" hidden="0"/>
                        <pic:cNvPicPr/>
                        <pic:nvPr isPhoto="0" userDrawn="0"/>
                      </pic:nvPicPr>
                      <pic:blipFill>
                        <a:blip r:embed="rId11"/>
                        <a:srcRect l="0" t="0" r="0" b="0"/>
                        <a:stretch/>
                      </pic:blipFill>
                      <pic:spPr bwMode="auto">
                        <a:xfrm flipH="0" flipV="0">
                          <a:off x="0" y="0"/>
                          <a:ext cx="3523430" cy="2435235"/>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77.4pt;height:191.8pt;">
                <v:path textboxrect="0,0,0,0"/>
                <v:imagedata r:id="rId11" o:title=""/>
              </v:shape>
            </w:pict>
          </mc:Fallback>
        </mc:AlternateContent>
      </w:r>
      <w:r>
        <w:rPr>
          <w:color w:val="000000"/>
          <w:sz w:val="22"/>
          <w:szCs w:val="22"/>
          <w:rtl w:val="false"/>
        </w:rPr>
        <w:t xml:space="preserve"> </w:t>
      </w:r>
      <w:r/>
    </w:p>
    <w:p>
      <w:pPr>
        <w:ind w:firstLine="720"/>
        <w:jc w:val="both"/>
        <w:spacing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Hevner et al. (2004) descrevem sobre as 7 diretrizes a serem consideradas em uma pesquisa pautada em DSR, que estão contidas no Tabela 1. Essas diretrizes també</w:t>
      </w:r>
      <w:r>
        <w:rPr>
          <w:rFonts w:ascii="Times New Roman" w:hAnsi="Times New Roman" w:cs="Times New Roman" w:eastAsia="Times New Roman"/>
          <w:color w:val="000000"/>
          <w:sz w:val="22"/>
          <w:szCs w:val="22"/>
          <w:rtl w:val="false"/>
        </w:rPr>
        <w:t xml:space="preserve">m são tomadas como etapas desta pesquisa, e envolvem a criação de um artefato (OA - D1) para um problema em especial (aprendizagem de conceitos para o Ensino de CDI - D2). A adequação dessas diretrizes à presente pesquisa é descrita nas subseções a seguir.</w:t>
      </w:r>
      <w:r/>
    </w:p>
    <w:p>
      <w:pPr>
        <w:ind w:left="0" w:firstLine="0"/>
        <w:jc w:val="both"/>
        <w:spacing w:after="120" w:line="259"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highlight w:val="none"/>
          <w:rtl w:val="false"/>
        </w:rPr>
      </w:r>
      <w:r>
        <w:rPr>
          <w:rFonts w:ascii="Times New Roman" w:hAnsi="Times New Roman" w:cs="Times New Roman" w:eastAsia="Times New Roman"/>
          <w:b/>
          <w:color w:val="000000"/>
          <w:sz w:val="22"/>
          <w:szCs w:val="22"/>
          <w:highlight w:val="none"/>
          <w:rtl w:val="false"/>
        </w:rPr>
      </w:r>
    </w:p>
    <w:p>
      <w:pPr>
        <w:ind w:left="0" w:firstLine="0"/>
        <w:jc w:val="both"/>
        <w:spacing w:after="120" w:line="259" w:lineRule="auto"/>
        <w:rPr>
          <w:rFonts w:ascii="Times New Roman" w:hAnsi="Times New Roman" w:cs="Times New Roman" w:eastAsia="Times New Roman"/>
          <w:b/>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Tabela 1</w:t>
      </w:r>
      <w:r>
        <w:rPr>
          <w:rtl w:val="false"/>
        </w:rPr>
      </w:r>
      <w:r/>
    </w:p>
    <w:p>
      <w:pPr>
        <w:ind w:left="0" w:firstLine="0"/>
        <w:jc w:val="both"/>
        <w:spacing w:after="120" w:line="259" w:lineRule="auto"/>
        <w:rPr>
          <w:rFonts w:ascii="Times New Roman" w:hAnsi="Times New Roman" w:cs="Times New Roman" w:eastAsia="Times New Roman"/>
          <w:i/>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i/>
          <w:color w:val="000000"/>
          <w:sz w:val="22"/>
          <w:szCs w:val="22"/>
          <w:rtl w:val="false"/>
        </w:rPr>
        <w:t xml:space="preserve">Diretrizes gerais para a condução e avaliação da DSR. (Dresch et al., 2015)</w:t>
      </w:r>
      <w:r/>
    </w:p>
    <w:tbl>
      <w:tblPr>
        <w:tblStyle w:val="94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2410"/>
        <w:gridCol w:w="4507"/>
      </w:tblGrid>
      <w:tr>
        <w:trPr/>
        <w:tc>
          <w:tcPr>
            <w:tcBorders>
              <w:top w:val="single" w:color="000000" w:sz="8" w:space="0"/>
              <w:left w:val="none" w:color="000000" w:sz="4" w:space="0"/>
              <w:bottom w:val="none" w:color="000000" w:sz="4" w:space="0"/>
              <w:right w:val="none" w:color="000000" w:sz="4" w:space="0"/>
            </w:tcBorders>
            <w:tcW w:w="2410" w:type="dxa"/>
            <w:vAlign w:val="top"/>
            <w:vMerge w:val="restart"/>
            <w:textDirection w:val="lrTb"/>
            <w:noWrap/>
          </w:tcPr>
          <w:p>
            <w:pPr>
              <w:ind w:left="0" w:right="0" w:firstLine="0"/>
              <w:jc w:val="left"/>
              <w:spacing w:before="0" w:after="0"/>
              <w:rPr>
                <w:rFonts w:ascii="Times New Roman" w:hAnsi="Times New Roman" w:cs="Times New Roman" w:eastAsia="Times New Roman"/>
                <w:b/>
                <w:color w:val="000000"/>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Diretrizes</w:t>
            </w:r>
            <w:r>
              <w:rPr>
                <w:rFonts w:ascii="Times New Roman" w:hAnsi="Times New Roman" w:cs="Times New Roman" w:eastAsia="Times New Roman"/>
                <w:b/>
                <w:color w:val="000000"/>
                <w:sz w:val="22"/>
              </w:rPr>
            </w:r>
          </w:p>
        </w:tc>
        <w:tc>
          <w:tcPr>
            <w:tcBorders>
              <w:top w:val="single" w:color="000000" w:sz="8" w:space="0"/>
              <w:left w:val="none" w:color="000000" w:sz="4" w:space="0"/>
              <w:bottom w:val="none" w:color="000000" w:sz="4" w:space="0"/>
              <w:right w:val="none" w:color="000000" w:sz="4" w:space="0"/>
            </w:tcBorders>
            <w:tcW w:w="4507" w:type="dxa"/>
            <w:vAlign w:val="top"/>
            <w:vMerge w:val="restart"/>
            <w:textDirection w:val="lrTb"/>
            <w:noWrap/>
          </w:tcPr>
          <w:p>
            <w:pPr>
              <w:ind w:left="0" w:right="0" w:firstLine="0"/>
              <w:jc w:val="center"/>
              <w:spacing w:before="0" w:after="0"/>
              <w:rPr>
                <w:rFonts w:ascii="Times New Roman" w:hAnsi="Times New Roman" w:cs="Times New Roman" w:eastAsia="Times New Roman"/>
                <w:color w:val="000000"/>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Descrição</w:t>
            </w:r>
            <w:r>
              <w:rPr>
                <w:rFonts w:ascii="Times New Roman" w:hAnsi="Times New Roman" w:cs="Times New Roman" w:eastAsia="Times New Roman"/>
                <w:color w:val="000000"/>
                <w:sz w:val="22"/>
              </w:rPr>
            </w:r>
          </w:p>
        </w:tc>
      </w:tr>
      <w:tr>
        <w:trPr/>
        <w:tc>
          <w:tcPr>
            <w:tcBorders>
              <w:top w:val="single" w:color="000000" w:sz="8"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D1 - Design como Artefato</w:t>
            </w:r>
            <w:r>
              <w:rPr>
                <w:b/>
                <w:sz w:val="22"/>
              </w:rPr>
            </w:r>
          </w:p>
        </w:tc>
        <w:tc>
          <w:tcPr>
            <w:tcBorders>
              <w:top w:val="single" w:color="000000" w:sz="8"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A pesquisa fundamentada em DSR deve produzir um artefato viável, na forma de um constructo, modelo, método e/ou uma instanciação.</w:t>
            </w:r>
            <w:r>
              <w:rPr>
                <w:sz w:val="22"/>
              </w:rPr>
            </w:r>
          </w:p>
        </w:tc>
      </w:tr>
      <w:tr>
        <w:trPr/>
        <w:tc>
          <w:tcPr>
            <w:tcBorders>
              <w:top w:val="none" w:color="000000" w:sz="4"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D2 - Relevância do Problema</w:t>
            </w:r>
            <w:r>
              <w:rPr>
                <w:b/>
                <w:sz w:val="22"/>
              </w:rPr>
            </w:r>
          </w:p>
        </w:tc>
        <w:tc>
          <w:tcPr>
            <w:tcBorders>
              <w:top w:val="none" w:color="000000" w:sz="4"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O objetivo da pesquisa fundamentada em DSR é desenvolver soluções baseadas em tecnologia para problemas gerenciais importantes e relevantes.</w:t>
            </w:r>
            <w:r>
              <w:rPr>
                <w:sz w:val="22"/>
              </w:rPr>
            </w:r>
          </w:p>
        </w:tc>
      </w:tr>
      <w:tr>
        <w:trPr/>
        <w:tc>
          <w:tcPr>
            <w:tcBorders>
              <w:top w:val="none" w:color="000000" w:sz="4"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D3 - Avaliação do Design</w:t>
            </w:r>
            <w:r>
              <w:rPr>
                <w:b/>
                <w:sz w:val="22"/>
              </w:rPr>
            </w:r>
          </w:p>
        </w:tc>
        <w:tc>
          <w:tcPr>
            <w:tcBorders>
              <w:top w:val="none" w:color="000000" w:sz="4"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A utilidade, qualidade e eficácia do artefato devem ser, rigorosamente, demonstradas por meio de métodos de avaliação bem executados.</w:t>
            </w:r>
            <w:r>
              <w:rPr>
                <w:sz w:val="22"/>
              </w:rPr>
            </w:r>
          </w:p>
        </w:tc>
      </w:tr>
      <w:tr>
        <w:trPr/>
        <w:tc>
          <w:tcPr>
            <w:tcBorders>
              <w:top w:val="none" w:color="000000" w:sz="4"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D4 - Contribuições do Design</w:t>
            </w:r>
            <w:r>
              <w:rPr>
                <w:b/>
                <w:sz w:val="22"/>
              </w:rPr>
            </w:r>
          </w:p>
        </w:tc>
        <w:tc>
          <w:tcPr>
            <w:tcBorders>
              <w:top w:val="none" w:color="000000" w:sz="4"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Uma pesquisa fundamentada em DSR deve prover contribuições claras e verificáveis nas áreas específicas dos artefatos desenvolvidos, e apresentar fundamentação clara em fundamentos de design e/ou metodologias de </w:t>
            </w:r>
            <w:r>
              <w:rPr>
                <w:rFonts w:ascii="Times New Roman" w:hAnsi="Times New Roman" w:cs="Times New Roman" w:eastAsia="Times New Roman"/>
                <w:i/>
                <w:color w:val="000000"/>
                <w:sz w:val="22"/>
              </w:rPr>
              <w:t xml:space="preserve">design</w:t>
            </w:r>
            <w:r>
              <w:rPr>
                <w:rFonts w:ascii="Times New Roman" w:hAnsi="Times New Roman" w:cs="Times New Roman" w:eastAsia="Times New Roman"/>
                <w:color w:val="000000"/>
                <w:sz w:val="22"/>
              </w:rPr>
              <w:t xml:space="preserve">.</w:t>
            </w:r>
            <w:r>
              <w:rPr>
                <w:sz w:val="22"/>
              </w:rPr>
            </w:r>
          </w:p>
        </w:tc>
      </w:tr>
      <w:tr>
        <w:trPr/>
        <w:tc>
          <w:tcPr>
            <w:tcBorders>
              <w:top w:val="none" w:color="000000" w:sz="4"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D5 - Rigor da Pesquisa</w:t>
            </w:r>
            <w:r>
              <w:rPr>
                <w:b/>
                <w:sz w:val="22"/>
              </w:rPr>
            </w:r>
          </w:p>
        </w:tc>
        <w:tc>
          <w:tcPr>
            <w:tcBorders>
              <w:top w:val="none" w:color="000000" w:sz="4"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A pesquisa em DSR é baseada em uma aplicação de métodos rigorosos, tanto na construção como na avaliação dos artefatos.</w:t>
            </w:r>
            <w:r>
              <w:rPr>
                <w:sz w:val="22"/>
              </w:rPr>
            </w:r>
          </w:p>
        </w:tc>
      </w:tr>
      <w:tr>
        <w:trPr/>
        <w:tc>
          <w:tcPr>
            <w:tcBorders>
              <w:top w:val="none" w:color="000000" w:sz="4" w:space="0"/>
              <w:left w:val="none" w:color="000000" w:sz="4" w:space="0"/>
              <w:bottom w:val="none" w:color="000000" w:sz="4"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D6 - Design como um Processo de Pesquisa</w:t>
            </w:r>
            <w:r>
              <w:rPr>
                <w:b/>
                <w:sz w:val="22"/>
              </w:rPr>
            </w:r>
          </w:p>
        </w:tc>
        <w:tc>
          <w:tcPr>
            <w:tcBorders>
              <w:top w:val="none" w:color="000000" w:sz="4" w:space="0"/>
              <w:left w:val="none" w:color="000000" w:sz="4" w:space="0"/>
              <w:bottom w:val="none" w:color="000000" w:sz="4"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A busca por um artefato eficaz e efetivo exige a utilização de meios que sejam disponíveis, para alcançar os fins desejados, ao mesmo tempo que satisfaz as leis que regem o ambiente em que o problema está sendo estudado.</w:t>
            </w:r>
            <w:r>
              <w:rPr>
                <w:sz w:val="22"/>
              </w:rPr>
            </w:r>
          </w:p>
        </w:tc>
      </w:tr>
      <w:tr>
        <w:trPr/>
        <w:tc>
          <w:tcPr>
            <w:tcBorders>
              <w:top w:val="none" w:color="000000" w:sz="4" w:space="0"/>
              <w:left w:val="none" w:color="000000" w:sz="4" w:space="0"/>
              <w:bottom w:val="single" w:color="000000" w:sz="8" w:space="0"/>
              <w:right w:val="none" w:color="000000" w:sz="4" w:space="0"/>
            </w:tcBorders>
            <w:tcW w:w="2410" w:type="dxa"/>
            <w:vAlign w:val="top"/>
            <w:textDirection w:val="lrTb"/>
            <w:noWrap/>
          </w:tcPr>
          <w:p>
            <w:pPr>
              <w:ind w:left="0" w:right="0" w:firstLine="0"/>
              <w:jc w:val="left"/>
              <w:spacing w:before="0" w:after="0"/>
              <w:rPr>
                <w:b/>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D7 - Comunicação da Pesquisa</w:t>
            </w:r>
            <w:r>
              <w:rPr>
                <w:b/>
                <w:sz w:val="22"/>
              </w:rPr>
            </w:r>
          </w:p>
        </w:tc>
        <w:tc>
          <w:tcPr>
            <w:tcBorders>
              <w:top w:val="none" w:color="000000" w:sz="4" w:space="0"/>
              <w:left w:val="none" w:color="000000" w:sz="4" w:space="0"/>
              <w:bottom w:val="single" w:color="000000" w:sz="8" w:space="0"/>
              <w:right w:val="none" w:color="000000" w:sz="4" w:space="0"/>
            </w:tcBorders>
            <w:tcW w:w="4507" w:type="dxa"/>
            <w:vAlign w:val="top"/>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rPr>
              <w:t xml:space="preserve">A pesquisa em DSR deve ser apresentada tanto para o público mais orientado à tecnologia quanto para aquele mais orientado à gestão.</w:t>
            </w:r>
            <w:r>
              <w:rPr>
                <w:sz w:val="22"/>
              </w:rPr>
            </w:r>
          </w:p>
        </w:tc>
      </w:tr>
    </w:tbl>
    <w:p>
      <w:pPr>
        <w:ind w:firstLine="709"/>
        <w:jc w:val="both"/>
        <w:spacing w:after="140" w:line="276" w:lineRule="auto"/>
        <w:rPr>
          <w:rFonts w:ascii="Times New Roman" w:hAnsi="Times New Roman" w:cs="Times New Roman" w:eastAsia="Times New Roman"/>
          <w:b/>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highlight w:val="none"/>
          <w:rtl w:val="false"/>
        </w:rPr>
      </w:r>
      <w:r>
        <w:rPr>
          <w:rFonts w:ascii="Times New Roman" w:hAnsi="Times New Roman" w:cs="Times New Roman" w:eastAsia="Times New Roman"/>
          <w:b/>
          <w:color w:val="000000"/>
          <w:sz w:val="22"/>
          <w:szCs w:val="22"/>
          <w:highlight w:val="none"/>
          <w:rtl w:val="false"/>
        </w:rPr>
      </w:r>
    </w:p>
    <w:p>
      <w:pPr>
        <w:ind w:firstLine="709"/>
        <w:jc w:val="both"/>
        <w:spacing w:after="140" w:line="276" w:lineRule="auto"/>
        <w:rPr>
          <w:rFonts w:ascii="Times New Roman" w:hAnsi="Times New Roman" w:cs="Times New Roman" w:eastAsia="Times New Roman"/>
          <w:b/>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Relevância do Problema</w:t>
      </w:r>
      <w:r/>
    </w:p>
    <w:p>
      <w:pPr>
        <w:contextualSpacing w:val="0"/>
        <w:ind w:firstLine="709"/>
        <w:jc w:val="both"/>
        <w:spacing w:before="0" w:after="34"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suppressLineNumbers w:val="0"/>
      </w:pPr>
      <w:r>
        <w:rPr>
          <w:rFonts w:ascii="Times New Roman" w:hAnsi="Times New Roman" w:cs="Times New Roman" w:eastAsia="Times New Roman"/>
          <w:color w:val="000000"/>
          <w:sz w:val="22"/>
          <w:szCs w:val="22"/>
          <w:rtl w:val="false"/>
        </w:rPr>
        <w:t xml:space="preserve">A </w:t>
      </w:r>
      <w:r>
        <w:rPr>
          <w:rFonts w:ascii="Times New Roman" w:hAnsi="Times New Roman" w:cs="Times New Roman" w:eastAsia="Times New Roman"/>
          <w:color w:val="000000"/>
          <w:sz w:val="22"/>
          <w:szCs w:val="22"/>
          <w:rtl w:val="false"/>
        </w:rPr>
        <w:t xml:space="preserve">partir da caracterização do problema de pesquisa, da experiência dos pesquisadores e por meio de levantamento bibliográfico sobre o perfil dos ingressantes nos cursos de Engenharia, Ensino de CDI e o uso de TDIC, buscou-se explicitar a relevância do tema. </w:t>
      </w:r>
      <w:r/>
    </w:p>
    <w:p>
      <w:pPr>
        <w:ind w:firstLine="709"/>
        <w:jc w:val="both"/>
        <w:spacing w:after="12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Segundo as Diretrizes Curriculares Nacionais dos Cursos de Graduação em Engenharia (</w:t>
      </w:r>
      <w:r>
        <w:rPr>
          <w:rFonts w:ascii="Times New Roman" w:hAnsi="Times New Roman" w:cs="Times New Roman" w:eastAsia="Times New Roman"/>
          <w:color w:val="222222"/>
          <w:sz w:val="22"/>
          <w:szCs w:val="22"/>
          <w:highlight w:val="white"/>
          <w:rtl w:val="false"/>
        </w:rPr>
        <w:t xml:space="preserve">Resolução CNE/CES 2/2019</w:t>
      </w:r>
      <w:r>
        <w:rPr>
          <w:rFonts w:ascii="Times New Roman" w:hAnsi="Times New Roman" w:cs="Times New Roman" w:eastAsia="Times New Roman"/>
          <w:color w:val="000000"/>
          <w:sz w:val="22"/>
          <w:szCs w:val="22"/>
          <w:rtl w:val="false"/>
        </w:rPr>
        <w:t xml:space="preserve">), em um curso de Engenharia, sistemas de nivelamento devem ser previstos visando à diminuição da retenção e da evasão, considerando as necessidades de conhecimentos básicos que são pré</w:t>
      </w:r>
      <w:r>
        <w:rPr>
          <w:rFonts w:ascii="Times New Roman" w:hAnsi="Times New Roman" w:cs="Times New Roman" w:eastAsia="Times New Roman"/>
          <w:color w:val="000000"/>
          <w:sz w:val="22"/>
          <w:szCs w:val="22"/>
          <w:rtl w:val="false"/>
        </w:rPr>
        <w:t xml:space="preserve">-requisitos para o ingresso nas atividades do curso. Isso mostra a relevância de pensar de uma forma sistemática, por meio da pesquisa, quais seriam esses conhecimentos básicos e compreender como essa problemática tem sido discutida no âmbito da pesquisa. </w:t>
      </w:r>
      <w:r>
        <w:rPr>
          <w:rFonts w:ascii="Times New Roman" w:hAnsi="Times New Roman" w:cs="Times New Roman" w:eastAsia="Times New Roman"/>
          <w:sz w:val="22"/>
          <w:szCs w:val="22"/>
          <w:rtl w:val="false"/>
        </w:rPr>
        <w:t xml:space="preserve">Como</w:t>
      </w:r>
      <w:r>
        <w:rPr>
          <w:rFonts w:ascii="Times New Roman" w:hAnsi="Times New Roman" w:cs="Times New Roman" w:eastAsia="Times New Roman"/>
          <w:color w:val="000000"/>
          <w:sz w:val="22"/>
          <w:szCs w:val="22"/>
          <w:rtl w:val="false"/>
        </w:rPr>
        <w:t xml:space="preserve"> exemplo, destacamos Carlson et al. (2015) que apresentam uma visão geral de literatura q</w:t>
      </w:r>
      <w:r>
        <w:rPr>
          <w:rFonts w:ascii="Times New Roman" w:hAnsi="Times New Roman" w:cs="Times New Roman" w:eastAsia="Times New Roman"/>
          <w:color w:val="000000"/>
          <w:sz w:val="22"/>
          <w:szCs w:val="22"/>
          <w:rtl w:val="false"/>
        </w:rPr>
        <w:t xml:space="preserve">ue identifica habilidades básicas de raciocínio no nível de Pré-cálculo e as compreensões que os alunos precisam para entender ideias-chave de CDI, que são base para o desenvolvimento dos OA. Também, será considerado o modelo teórico que trata de estratos </w:t>
      </w:r>
      <w:r>
        <w:rPr>
          <w:rFonts w:ascii="Times New Roman" w:hAnsi="Times New Roman" w:cs="Times New Roman" w:eastAsia="Times New Roman"/>
          <w:color w:val="000000"/>
          <w:sz w:val="22"/>
          <w:szCs w:val="22"/>
          <w:rtl w:val="false"/>
        </w:rPr>
        <w:t xml:space="preserve">do conhecimento matemático (Cuevas-Vallejo et al., 2018), a constar: numérico, algébrico e funcional, bem como trabalhos que propuseram instrumentos para a avaliação desses conhecimentos considerados básicos para a aprendizagem de CDI (Reyes et al., 2017).</w:t>
      </w:r>
      <w:r/>
    </w:p>
    <w:p>
      <w:pPr>
        <w:ind w:firstLine="709"/>
        <w:jc w:val="both"/>
        <w:spacing w:after="120" w:line="276" w:lineRule="auto"/>
        <w:rPr>
          <w:rFonts w:ascii="Times New Roman" w:hAnsi="Times New Roman" w:cs="Times New Roman" w:eastAsia="Times New Roman"/>
          <w:b/>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Design como Artefato</w:t>
      </w:r>
      <w:r/>
    </w:p>
    <w:p>
      <w:pPr>
        <w:ind w:firstLine="709"/>
        <w:jc w:val="both"/>
        <w:spacing w:after="14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O artefato proposto é concebido para ser um conjunto de OA que usam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os quais devem possibilitar ao aluno uma autorregulação de sua aprendizagem em rela</w:t>
      </w:r>
      <w:r>
        <w:rPr>
          <w:rFonts w:ascii="Times New Roman" w:hAnsi="Times New Roman" w:cs="Times New Roman" w:eastAsia="Times New Roman"/>
          <w:color w:val="000000"/>
          <w:sz w:val="22"/>
          <w:szCs w:val="22"/>
          <w:rtl w:val="false"/>
        </w:rPr>
        <w:t xml:space="preserve">ção aos conceitos de Matemática necessários para a aprendizagem de CDI. Os OA construídos na FARMA serão compostos por um conjunto de questões elaboradas a partir do Instrumento de Prontidão de Conceitos de Cálculo - CCR, proposto por Carlson et al. (2015)</w:t>
      </w:r>
      <w:r>
        <w:rPr>
          <w:rFonts w:ascii="Times New Roman" w:hAnsi="Times New Roman" w:cs="Times New Roman" w:eastAsia="Times New Roman"/>
          <w:color w:val="000000"/>
          <w:sz w:val="22"/>
          <w:szCs w:val="22"/>
          <w:rtl w:val="false"/>
        </w:rPr>
        <w:t xml:space="preserve">, organizado com base na taxonomia de 23 itens distribuídos em cinco categorias (Tabela 2), bem como em outras questões já validadas (ENEM, Prova Brasil, Pisa) que contemplam os diferentes estratos do conhecimento matemático (Cuevas-Vallejo et al., 2018). </w:t>
      </w:r>
      <w:r/>
    </w:p>
    <w:p>
      <w:pPr>
        <w:ind w:firstLine="0"/>
        <w:jc w:val="both"/>
        <w:spacing w:after="120" w:line="259"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highlight w:val="none"/>
          <w:rtl w:val="false"/>
        </w:rPr>
      </w:r>
      <w:r>
        <w:rPr>
          <w:rFonts w:ascii="Times New Roman" w:hAnsi="Times New Roman" w:cs="Times New Roman" w:eastAsia="Times New Roman"/>
          <w:b/>
          <w:color w:val="000000"/>
          <w:sz w:val="22"/>
          <w:szCs w:val="22"/>
          <w:highlight w:val="none"/>
          <w:rtl w:val="false"/>
        </w:rPr>
      </w:r>
    </w:p>
    <w:p>
      <w:pPr>
        <w:ind w:firstLine="0"/>
        <w:jc w:val="both"/>
        <w:spacing w:after="120" w:line="259" w:lineRule="auto"/>
        <w:rPr>
          <w:rFonts w:ascii="Times New Roman" w:hAnsi="Times New Roman" w:cs="Times New Roman" w:eastAsia="Times New Roman"/>
          <w:b/>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Tabela 2 </w:t>
      </w:r>
      <w:r>
        <w:rPr>
          <w:rtl w:val="false"/>
        </w:rPr>
      </w:r>
      <w:r/>
    </w:p>
    <w:p>
      <w:pPr>
        <w:ind w:firstLine="0"/>
        <w:jc w:val="both"/>
        <w:spacing w:after="120" w:line="259" w:lineRule="auto"/>
        <w:rPr>
          <w:rFonts w:ascii="Times New Roman" w:hAnsi="Times New Roman" w:cs="Times New Roman" w:eastAsia="Times New Roman"/>
          <w:b/>
          <w:i/>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i/>
          <w:color w:val="000000"/>
          <w:sz w:val="22"/>
          <w:szCs w:val="22"/>
          <w:rtl w:val="false"/>
        </w:rPr>
        <w:t xml:space="preserve">Taxonomia do CCR. (Carlson et al., 2015, p. 216, tradução nossa)</w:t>
      </w:r>
      <w:r>
        <w:rPr>
          <w:rtl w:val="false"/>
        </w:rPr>
      </w:r>
      <w:r/>
    </w:p>
    <w:tbl>
      <w:tblPr>
        <w:tblStyle w:val="94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8440"/>
      </w:tblGrid>
      <w:tr>
        <w:trPr/>
        <w:tc>
          <w:tcPr>
            <w:tcBorders>
              <w:top w:val="single" w:color="000000" w:sz="8" w:space="0"/>
              <w:left w:val="none" w:color="000000" w:sz="4" w:space="0"/>
              <w:bottom w:val="none" w:color="000000" w:sz="4" w:space="0"/>
              <w:right w:val="none" w:color="000000" w:sz="4" w:space="0"/>
            </w:tcBorders>
            <w:tcW w:w="8440" w:type="dxa"/>
            <w:vAlign w:val="center"/>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Habilidades de raciocínio</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R1 - Raciocínio Proporcional: Observar que duas grandezas que estão mudando juntas estão relacionadas por uma constante multiplicativa e que, como às duas grandezas mudam juntas, a razão de uma grandeza para a outra permanece constante; em seguida, usar es</w:t>
            </w:r>
            <w:r>
              <w:rPr>
                <w:rFonts w:ascii="Times New Roman" w:hAnsi="Times New Roman" w:cs="Times New Roman" w:eastAsia="Times New Roman"/>
                <w:color w:val="000000"/>
                <w:sz w:val="22"/>
              </w:rPr>
              <w:t xml:space="preserve">se conhecimento para determinar novos valores de uma quantidade para valores específicos da outra quantidade;</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R2 - Visão de Função como Processo: Visualizar uma função como um processo que mapeia os valores de entrada no domínio da função para valores de saída na imagem da função;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R3 - Raciocínio Quantitativo e Covariacional: Conceituar quantidades em várias situações e pensar sobre como duas quantidades em uma situação mudam juntas.</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Compreender, representar e interpretar padrões de crescimento de função</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F1 - Linear;</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F2 - Exponencial;</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F3 - Polinomial não linear;</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F4 - Racional;</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F5 - Periódica.</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Compreender e usar os seguintes conceitos ou ideias</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U1- Grandeza;</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U2 - Variável;</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U3 - Inclinação / Taxa constante de variação;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U4 - Taxa média de variação;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U5 - Composição de função;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U6 - Função inversa;</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U7 - Translações de funções (deslocamentos horizontais e verticais).</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Compreender ideias centrais da trigonometria</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T1 - Medida de ângulo;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T2 - Radiano como unidade de medida;</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T3 - As funções seno e cosseno como a covariação do comprimento de um arco (medido em unidades do raio do círculo) e a coordenada horizontal ou vertical do término do arco (medida em unidades do raio do arco). Essas perguntas exploram a ideia de que todo c</w:t>
            </w:r>
            <w:r>
              <w:rPr>
                <w:rFonts w:ascii="Times New Roman" w:hAnsi="Times New Roman" w:cs="Times New Roman" w:eastAsia="Times New Roman"/>
                <w:color w:val="000000"/>
                <w:sz w:val="22"/>
              </w:rPr>
              <w:t xml:space="preserve">írculo pode ser considerado um círculo unitário;</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T4 - As funções seno e cosseno como uma representação da relação entre uma medida de ângulo e os lados de um triângulo retângulo.</w:t>
            </w:r>
            <w:r>
              <w:rPr>
                <w:sz w:val="22"/>
              </w:rPr>
            </w:r>
          </w:p>
        </w:tc>
      </w:tr>
      <w:tr>
        <w:trPr/>
        <w:tc>
          <w:tcPr>
            <w:tcBorders>
              <w:top w:val="none" w:color="000000" w:sz="4" w:space="0"/>
              <w:left w:val="none" w:color="000000" w:sz="4" w:space="0"/>
              <w:bottom w:val="none" w:color="000000" w:sz="4" w:space="0"/>
              <w:right w:val="none" w:color="000000" w:sz="4" w:space="0"/>
            </w:tcBorders>
            <w:tcW w:w="8440" w:type="dxa"/>
            <w:vAlign w:val="center"/>
            <w:textDirection w:val="lrTb"/>
            <w:noWrap/>
          </w:tcPr>
          <w:p>
            <w:pPr>
              <w:ind w:left="0"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sz w:val="22"/>
              </w:rPr>
              <w:t xml:space="preserve">Outras habilidades</w:t>
            </w:r>
            <w:r>
              <w:rPr>
                <w:sz w:val="22"/>
              </w:rPr>
            </w:r>
          </w:p>
        </w:tc>
      </w:tr>
      <w:tr>
        <w:trPr/>
        <w:tc>
          <w:tcPr>
            <w:tcBorders>
              <w:top w:val="none" w:color="000000" w:sz="4" w:space="0"/>
              <w:left w:val="none" w:color="000000" w:sz="4" w:space="0"/>
              <w:bottom w:val="single" w:color="000000" w:sz="8" w:space="0"/>
              <w:right w:val="none" w:color="000000" w:sz="4" w:space="0"/>
            </w:tcBorders>
            <w:tcW w:w="8440" w:type="dxa"/>
            <w:vAlign w:val="center"/>
            <w:textDirection w:val="lrTb"/>
            <w:noWrap/>
          </w:tcPr>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H1- Resolver equações;</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H2 - Representar e interpretar inequações;</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H3 - Usar e resolver sistemas de equações;</w:t>
            </w:r>
            <w:r>
              <w:rPr>
                <w:sz w:val="22"/>
              </w:rPr>
            </w:r>
          </w:p>
          <w:p>
            <w:pPr>
              <w:contextualSpacing w:val="0"/>
              <w:ind w:left="709" w:right="0" w:firstLine="0"/>
              <w:jc w:val="both"/>
              <w:spacing w:before="0" w:after="0"/>
              <w:rPr>
                <w:sz w:val="22"/>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000000"/>
                <w:sz w:val="22"/>
              </w:rPr>
              <w:t xml:space="preserve">H4 - Compreender e usar a notação de função para expressar uma quantidade em termos de outra.</w:t>
            </w:r>
            <w:r>
              <w:rPr>
                <w:sz w:val="22"/>
              </w:rPr>
            </w:r>
          </w:p>
        </w:tc>
      </w:tr>
    </w:tbl>
    <w:p>
      <w:pPr>
        <w:ind w:firstLine="709"/>
        <w:jc w:val="both"/>
        <w:spacing w:after="140" w:line="240" w:lineRule="auto"/>
        <w:rPr>
          <w:rFonts w:ascii="Times New Roman" w:hAnsi="Times New Roman" w:cs="Times New Roman" w:eastAsia="Times New Roman"/>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highlight w:val="none"/>
          <w:rtl w:val="false"/>
        </w:rPr>
      </w:r>
      <w:r>
        <w:rPr>
          <w:rFonts w:ascii="Times New Roman" w:hAnsi="Times New Roman" w:cs="Times New Roman" w:eastAsia="Times New Roman"/>
          <w:color w:val="000000"/>
          <w:sz w:val="22"/>
          <w:szCs w:val="22"/>
          <w:highlight w:val="none"/>
          <w:rtl w:val="false"/>
        </w:rPr>
      </w:r>
    </w:p>
    <w:p>
      <w:pPr>
        <w:ind w:firstLine="709"/>
        <w:jc w:val="both"/>
        <w:spacing w:after="140" w:line="240" w:lineRule="auto"/>
        <w:rPr>
          <w:rFonts w:ascii="Times New Roman" w:hAnsi="Times New Roman" w:cs="Times New Roman" w:eastAsia="Times New Roman"/>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Para um primeiro protótipo, foram escolhidas duas questões envolvendo o conceito/ideia de composição de funções (U5), associado a padrões de crescimento não linear (F3) e habilidade de compr</w:t>
      </w:r>
      <w:r>
        <w:rPr>
          <w:rFonts w:ascii="Times New Roman" w:hAnsi="Times New Roman" w:cs="Times New Roman" w:eastAsia="Times New Roman"/>
          <w:color w:val="000000"/>
          <w:sz w:val="22"/>
          <w:szCs w:val="22"/>
          <w:rtl w:val="false"/>
        </w:rPr>
        <w:t xml:space="preserve">eender e usar a notação de função para expressar uma grandeza em termos de outra (H4). O teste CCR, como um todo, não é de domínio público, e as questões aqui utilizadas são inspiradas nos trabalhos de Carlson et al. (2015), Carlson et al. (2010) e outros.</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Os OA construídos na FARMA foram desenvolvidos de tal modo que, para cada questão, a cada erro cometido pelo estudante em uma das etapas de resolução, seja apresentado um tipo de </w:t>
      </w:r>
      <w:r>
        <w:rPr>
          <w:rFonts w:ascii="Times New Roman" w:hAnsi="Times New Roman" w:cs="Times New Roman" w:eastAsia="Times New Roman"/>
          <w:i/>
          <w:color w:val="000000"/>
          <w:sz w:val="22"/>
          <w:szCs w:val="22"/>
          <w:rtl w:val="false"/>
        </w:rPr>
        <w:t xml:space="preserve">feedback</w:t>
      </w:r>
      <w:r>
        <w:rPr>
          <w:rFonts w:ascii="Times New Roman" w:hAnsi="Times New Roman" w:cs="Times New Roman" w:eastAsia="Times New Roman"/>
          <w:color w:val="000000"/>
          <w:sz w:val="22"/>
          <w:szCs w:val="22"/>
          <w:rtl w:val="false"/>
        </w:rPr>
        <w:t xml:space="preserve"> diferente. A variação dos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teve por objetivo contemplar tipos de intervenção que sejam mais eficazes em uma nova tentativa de resolução do mesmo item. Foram adotados os seguintes tipos de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definição matemática do conceito abordado na questão; apresentação de outro registro de representação para o conceito; explicação curta da questão; sugestão de vídeo, com abordagem dos conceitos, a partir de repositórios já existentes (Canais no </w:t>
      </w:r>
      <w:r>
        <w:rPr>
          <w:rFonts w:ascii="Times New Roman" w:hAnsi="Times New Roman" w:cs="Times New Roman" w:eastAsia="Times New Roman"/>
          <w:i/>
          <w:color w:val="000000"/>
          <w:sz w:val="22"/>
          <w:szCs w:val="22"/>
          <w:rtl w:val="false"/>
        </w:rPr>
        <w:t xml:space="preserve">Youtube</w:t>
      </w:r>
      <w:r>
        <w:rPr>
          <w:rFonts w:ascii="Times New Roman" w:hAnsi="Times New Roman" w:cs="Times New Roman" w:eastAsia="Times New Roman"/>
          <w:color w:val="000000"/>
          <w:sz w:val="22"/>
          <w:szCs w:val="22"/>
          <w:rtl w:val="false"/>
        </w:rPr>
        <w:t xml:space="preserve">, Sites de Universidades etc.); apresentação de exemplos similares.</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Os exemplos utilizados no OA, Figura </w:t>
      </w:r>
      <w:r>
        <w:rPr>
          <w:rFonts w:ascii="Times New Roman" w:hAnsi="Times New Roman" w:cs="Times New Roman" w:eastAsia="Times New Roman"/>
          <w:sz w:val="22"/>
          <w:szCs w:val="22"/>
          <w:rtl w:val="false"/>
        </w:rPr>
        <w:t xml:space="preserve">2</w:t>
      </w:r>
      <w:r>
        <w:rPr>
          <w:rFonts w:ascii="Times New Roman" w:hAnsi="Times New Roman" w:cs="Times New Roman" w:eastAsia="Times New Roman"/>
          <w:color w:val="000000"/>
          <w:sz w:val="22"/>
          <w:szCs w:val="22"/>
          <w:rtl w:val="false"/>
        </w:rPr>
        <w:t xml:space="preserve"> exploram o conceito de função composta, cujo objetivo, segundo o instrumento CCR, é verificar se o aluno:</w:t>
      </w:r>
      <w:r/>
    </w:p>
    <w:p>
      <w:pPr>
        <w:ind w:firstLine="709"/>
        <w:jc w:val="both"/>
        <w:spacing w:after="14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i</w:t>
      </w:r>
      <w:r>
        <w:rPr>
          <w:rFonts w:ascii="Times New Roman" w:hAnsi="Times New Roman" w:cs="Times New Roman" w:eastAsia="Times New Roman"/>
          <w:color w:val="000000"/>
          <w:sz w:val="22"/>
          <w:szCs w:val="22"/>
          <w:rtl w:val="false"/>
        </w:rPr>
        <w:t xml:space="preserve">) consegue visualizar a função como um processo;</w:t>
      </w:r>
      <w:r/>
    </w:p>
    <w:p>
      <w:pPr>
        <w:ind w:firstLine="709"/>
        <w:jc w:val="both"/>
        <w:spacing w:after="14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ii</w:t>
      </w:r>
      <w:r>
        <w:rPr>
          <w:rFonts w:ascii="Times New Roman" w:hAnsi="Times New Roman" w:cs="Times New Roman" w:eastAsia="Times New Roman"/>
          <w:color w:val="000000"/>
          <w:sz w:val="22"/>
          <w:szCs w:val="22"/>
          <w:rtl w:val="false"/>
        </w:rPr>
        <w:t xml:space="preserve">) compreende o que significa avaliar uma função;</w:t>
      </w:r>
      <w:r/>
    </w:p>
    <w:p>
      <w:pPr>
        <w:ind w:firstLine="709"/>
        <w:jc w:val="both"/>
        <w:spacing w:after="14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iii</w:t>
      </w:r>
      <w:r>
        <w:rPr>
          <w:rFonts w:ascii="Times New Roman" w:hAnsi="Times New Roman" w:cs="Times New Roman" w:eastAsia="Times New Roman"/>
          <w:color w:val="000000"/>
          <w:sz w:val="22"/>
          <w:szCs w:val="22"/>
          <w:rtl w:val="false"/>
        </w:rPr>
        <w:t xml:space="preserve">) entende como compor duas funções dadas em um contexto de representação gráfica.</w:t>
      </w:r>
      <w:r/>
    </w:p>
    <w:p>
      <w:pPr>
        <w:ind w:left="709" w:firstLine="0"/>
        <w:jc w:val="both"/>
        <w:spacing w:after="120" w:line="276" w:lineRule="auto"/>
        <w:rPr>
          <w:rFonts w:ascii="Times New Roman" w:hAnsi="Times New Roman" w:cs="Times New Roman" w:eastAsia="Times New Roman"/>
          <w:b/>
          <w:color w:val="000000"/>
          <w:sz w:val="22"/>
          <w:szCs w:val="22"/>
        </w:rPr>
      </w:pPr>
      <w:r>
        <w:rPr>
          <w:rFonts w:ascii="Times New Roman" w:hAnsi="Times New Roman" w:cs="Times New Roman" w:eastAsia="Times New Roman"/>
          <w:b/>
          <w:color w:val="000000"/>
          <w:sz w:val="22"/>
          <w:szCs w:val="22"/>
          <w:highlight w:val="none"/>
          <w:rtl w:val="false"/>
        </w:rPr>
      </w:r>
      <w:r>
        <w:rPr>
          <w:rFonts w:ascii="Times New Roman" w:hAnsi="Times New Roman" w:cs="Times New Roman" w:eastAsia="Times New Roman"/>
          <w:b/>
          <w:color w:val="000000"/>
          <w:sz w:val="22"/>
          <w:szCs w:val="22"/>
          <w:highlight w:val="none"/>
          <w:rtl w:val="false"/>
        </w:rPr>
      </w:r>
      <w:r/>
    </w:p>
    <w:p>
      <w:pPr>
        <w:ind w:left="709" w:firstLine="0"/>
        <w:jc w:val="both"/>
        <w:spacing w:after="120" w:line="276" w:lineRule="auto"/>
        <w:rPr>
          <w:rFonts w:ascii="Times New Roman" w:hAnsi="Times New Roman" w:cs="Times New Roman" w:eastAsia="Times New Roman"/>
          <w:b/>
          <w:color w:val="000000"/>
          <w:sz w:val="22"/>
          <w:szCs w:val="22"/>
          <w:highlight w:val="none"/>
        </w:rPr>
      </w:pPr>
      <w:r>
        <w:rPr>
          <w:rFonts w:ascii="Times New Roman" w:hAnsi="Times New Roman" w:cs="Times New Roman" w:eastAsia="Times New Roman"/>
          <w:b/>
          <w:color w:val="000000"/>
          <w:sz w:val="22"/>
          <w:szCs w:val="22"/>
          <w:highlight w:val="none"/>
          <w:rtl w:val="false"/>
        </w:rPr>
      </w:r>
      <w:r>
        <w:rPr>
          <w:rFonts w:ascii="Times New Roman" w:hAnsi="Times New Roman" w:cs="Times New Roman" w:eastAsia="Times New Roman"/>
          <w:b/>
          <w:color w:val="000000"/>
          <w:sz w:val="22"/>
          <w:szCs w:val="22"/>
          <w:highlight w:val="none"/>
          <w:rtl w:val="false"/>
        </w:rPr>
      </w:r>
      <w:r/>
    </w:p>
    <w:p>
      <w:pPr>
        <w:ind w:left="709" w:firstLine="0"/>
        <w:jc w:val="both"/>
        <w:spacing w:after="120" w:line="276" w:lineRule="auto"/>
        <w:rPr>
          <w:rFonts w:ascii="Times New Roman" w:hAnsi="Times New Roman" w:cs="Times New Roman" w:eastAsia="Times New Roman"/>
          <w:b/>
          <w:color w:val="000000"/>
          <w:sz w:val="22"/>
          <w:szCs w:val="22"/>
          <w:highlight w:val="none"/>
        </w:rPr>
      </w:pPr>
      <w:r>
        <w:rPr>
          <w:rFonts w:ascii="Times New Roman" w:hAnsi="Times New Roman" w:cs="Times New Roman" w:eastAsia="Times New Roman"/>
          <w:b/>
          <w:color w:val="000000"/>
          <w:sz w:val="22"/>
          <w:szCs w:val="22"/>
          <w:rtl w:val="false"/>
        </w:rPr>
        <w:t xml:space="preserve">Figura 2</w:t>
      </w:r>
      <w:r/>
    </w:p>
    <w:p>
      <w:pPr>
        <w:ind w:left="709" w:firstLine="0"/>
        <w:jc w:val="both"/>
        <w:spacing w:after="120" w:line="276" w:lineRule="auto"/>
        <w:tabs>
          <w:tab w:val="left" w:pos="720" w:leader="none"/>
        </w:tabs>
      </w:pPr>
      <w:r>
        <w:rPr>
          <w:rFonts w:ascii="Times New Roman" w:hAnsi="Times New Roman" w:cs="Times New Roman" w:eastAsia="Times New Roman"/>
          <w:i/>
          <w:color w:val="000000"/>
          <w:sz w:val="22"/>
          <w:szCs w:val="22"/>
          <w:rtl w:val="false"/>
        </w:rPr>
        <w:t xml:space="preserve">Exemplo de uma questão do OA com feedbacks.</w:t>
      </w:r>
      <w:r/>
      <w:r/>
    </w:p>
    <w:p>
      <w:pPr>
        <w:ind w:left="0" w:firstLine="0"/>
        <w:jc w:val="center"/>
        <w:spacing w:after="120" w:line="276" w:lineRule="auto"/>
        <w:tabs>
          <w:tab w:val="left" w:pos="720" w:leader="none"/>
        </w:tabs>
        <w:rPr>
          <w:rFonts w:ascii="Times" w:hAnsi="Times" w:cs="Times" w:eastAsia="Times"/>
        </w:rPr>
      </w:pPr>
      <w:r>
        <mc:AlternateContent>
          <mc:Choice Requires="wpg">
            <w:drawing>
              <wp:inline xmlns:wp="http://schemas.openxmlformats.org/drawingml/2006/wordprocessingDrawing" distT="0" distB="0" distL="0" distR="0">
                <wp:extent cx="3291874" cy="3964830"/>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34428" name="" hidden="0"/>
                        <pic:cNvPicPr>
                          <a:picLocks noChangeAspect="1"/>
                        </pic:cNvPicPr>
                        <pic:nvPr isPhoto="0" userDrawn="0"/>
                      </pic:nvPicPr>
                      <pic:blipFill>
                        <a:blip r:embed="rId12"/>
                        <a:stretch/>
                      </pic:blipFill>
                      <pic:spPr bwMode="auto">
                        <a:xfrm flipH="0" flipV="0">
                          <a:off x="0" y="0"/>
                          <a:ext cx="3291874" cy="39648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59.2pt;height:312.2pt;" stroked="false">
                <v:path textboxrect="0,0,0,0"/>
                <v:imagedata r:id="rId12" o:title=""/>
              </v:shape>
            </w:pict>
          </mc:Fallback>
        </mc:AlternateContent>
      </w:r>
      <w:r>
        <w:rPr>
          <w:rFonts w:ascii="Times New Roman" w:hAnsi="Times New Roman" w:cs="Times New Roman" w:eastAsia="Times New Roman"/>
          <w:color w:val="000000"/>
          <w:sz w:val="22"/>
          <w:szCs w:val="22"/>
          <w:rtl w:val="false"/>
        </w:rPr>
      </w:r>
      <w:r/>
    </w:p>
    <w:p>
      <w:pPr>
        <w:ind w:firstLine="709"/>
        <w:jc w:val="both"/>
        <w:spacing w:after="140" w:line="240" w:lineRule="auto"/>
        <w:rPr>
          <w:rFonts w:ascii="Times New Roman" w:hAnsi="Times New Roman" w:cs="Times New Roman" w:eastAsia="Times New Roman"/>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rtl w:val="false"/>
        </w:rPr>
        <w:t xml:space="preserve">A Figura 2 apresenta (a) uma questão sobre o conceito de função compostas, o feedback (b) mostra a representação gráfica da imagem de uma função para o Item 1. Já o </w:t>
      </w:r>
      <w:r>
        <w:rPr>
          <w:rFonts w:ascii="Times New Roman" w:hAnsi="Times New Roman" w:cs="Times New Roman" w:eastAsia="Times New Roman"/>
          <w:i/>
          <w:sz w:val="22"/>
          <w:rtl w:val="false"/>
        </w:rPr>
        <w:t xml:space="preserve">feedback</w:t>
      </w:r>
      <w:r>
        <w:rPr>
          <w:rFonts w:ascii="Times New Roman" w:hAnsi="Times New Roman" w:cs="Times New Roman" w:eastAsia="Times New Roman"/>
          <w:sz w:val="22"/>
          <w:rtl w:val="false"/>
        </w:rPr>
        <w:t xml:space="preserve"> (c) apresenta um exemplo de função composta semelhante ao proposto na questão. </w:t>
      </w:r>
      <w:r>
        <w:rPr>
          <w:sz w:val="22"/>
        </w:rPr>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A plataforma FARMA possibilita a verificação e a validação contínua do artefato. No entanto, na garantia do rigor necessário para a pesquisa em DSR, é necessário o detalhamento do processo metodológico em busca de uma solução.</w:t>
      </w:r>
      <w:r>
        <w:rPr>
          <w:sz w:val="22"/>
        </w:rPr>
      </w:r>
      <w:r/>
    </w:p>
    <w:p>
      <w:pPr>
        <w:ind w:firstLine="709"/>
        <w:jc w:val="both"/>
        <w:spacing w:after="140" w:line="276" w:lineRule="auto"/>
        <w:rPr>
          <w:rFonts w:ascii="Times New Roman" w:hAnsi="Times New Roman" w:cs="Times New Roman" w:eastAsia="Times New Roman"/>
          <w:b/>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Processo de Busca de Solução</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O processo de busca de solução para a concepção dos OA pautou-se pela DSR e utilizou-se a taxonomia de Múltiplas Representações Externas (MRE) prop</w:t>
      </w:r>
      <w:r>
        <w:rPr>
          <w:rFonts w:ascii="Times New Roman" w:hAnsi="Times New Roman" w:cs="Times New Roman" w:eastAsia="Times New Roman"/>
          <w:color w:val="000000"/>
          <w:sz w:val="22"/>
          <w:szCs w:val="22"/>
          <w:rtl w:val="false"/>
        </w:rPr>
        <w:t xml:space="preserve">osta por Ainsworth (2006), que relaciona várias representações e está fundamentada na aplicação de técnicas para representar, organizar e apresentar o conhecimento. Neste trabalho, as MRE darão suporte à remediação/intervenção de erros de Matemática em OA.</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P</w:t>
      </w:r>
      <w:r>
        <w:rPr>
          <w:rFonts w:ascii="Times New Roman" w:hAnsi="Times New Roman" w:cs="Times New Roman" w:eastAsia="Times New Roman"/>
          <w:color w:val="000000"/>
          <w:sz w:val="22"/>
          <w:szCs w:val="22"/>
          <w:rtl w:val="false"/>
        </w:rPr>
        <w:t xml:space="preserve">ensando em possíveis respostas dadas pelos alunos e com base no Tabela 2 do CCR, é possível elaborar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para cada questão elaborada nos OA. Foi construído um protótipo de OA (artefato) para teste na FARMA com duas questões inspiradas no teste CCR e com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pautados nas funções das MRE.</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Para a validação do protótipo do OA, foram convidados dois grupos, um deles formado por dois professores de CDI, também pesquisadores da Educação Matemática (denominados especialista</w:t>
      </w:r>
      <w:r>
        <w:rPr>
          <w:rFonts w:ascii="Times New Roman" w:hAnsi="Times New Roman" w:cs="Times New Roman" w:eastAsia="Times New Roman"/>
          <w:color w:val="000000"/>
          <w:sz w:val="22"/>
          <w:szCs w:val="22"/>
          <w:rtl w:val="false"/>
        </w:rPr>
        <w:t xml:space="preserve">s</w:t>
      </w:r>
      <w:r>
        <w:rPr>
          <w:rFonts w:ascii="Times New Roman" w:hAnsi="Times New Roman" w:cs="Times New Roman" w:eastAsia="Times New Roman"/>
          <w:color w:val="000000"/>
          <w:sz w:val="22"/>
          <w:szCs w:val="22"/>
          <w:rtl w:val="false"/>
        </w:rPr>
        <w:t xml:space="preserve"> – E1, E2), e outro formado por 7 professores da Educação Básica e Ensino Superior, que cursavam uma disciplina de Ensino de CDI ofertada pelo Programa de Pós-Graduação, do qual o autor é integrante (denominados apenas como professores – P1, P2, ..., P7). </w:t>
      </w:r>
      <w:r>
        <w:rPr>
          <w:rFonts w:ascii="Times New Roman" w:hAnsi="Times New Roman" w:cs="Times New Roman" w:eastAsia="Times New Roman"/>
          <w:color w:val="000000"/>
          <w:sz w:val="22"/>
          <w:szCs w:val="22"/>
          <w:rtl w:val="false"/>
        </w:rPr>
        <w:t xml:space="preserve">Ressalta-se, que a pesquisa foi aprovada pelo Comitê de Ética da (omitido para avaliação) (</w:t>
      </w:r>
      <w:r>
        <w:rPr>
          <w:rFonts w:ascii="Times New Roman" w:hAnsi="Times New Roman" w:cs="Times New Roman" w:eastAsia="Times New Roman"/>
          <w:color w:val="000000"/>
          <w:sz w:val="22"/>
          <w:szCs w:val="22"/>
          <w:rtl w:val="false"/>
        </w:rPr>
        <w:t xml:space="preserve">processo nº </w:t>
      </w:r>
      <w:r>
        <w:rPr>
          <w:rFonts w:ascii="Times New Roman" w:hAnsi="Times New Roman" w:cs="Times New Roman" w:eastAsia="Times New Roman"/>
          <w:color w:val="000000"/>
          <w:sz w:val="22"/>
          <w:szCs w:val="22"/>
          <w:rtl w:val="false"/>
        </w:rPr>
        <w:t xml:space="preserve">08957619.3.0000.5547</w:t>
      </w:r>
      <w:r>
        <w:rPr>
          <w:rFonts w:ascii="Times New Roman" w:hAnsi="Times New Roman" w:cs="Times New Roman" w:eastAsia="Times New Roman"/>
          <w:color w:val="000000"/>
          <w:sz w:val="22"/>
          <w:szCs w:val="22"/>
          <w:rtl w:val="false"/>
        </w:rPr>
        <w:t xml:space="preserve">; parecer nº </w:t>
      </w:r>
      <w:r>
        <w:rPr>
          <w:rFonts w:ascii="Times New Roman" w:hAnsi="Times New Roman" w:cs="Times New Roman" w:eastAsia="Times New Roman"/>
          <w:color w:val="000000"/>
          <w:sz w:val="22"/>
          <w:szCs w:val="22"/>
          <w:rtl w:val="false"/>
        </w:rPr>
        <w:t xml:space="preserve">4.683.713)</w:t>
      </w:r>
      <w:r>
        <w:rPr>
          <w:rFonts w:ascii="Times New Roman" w:hAnsi="Times New Roman" w:cs="Times New Roman" w:eastAsia="Times New Roman"/>
          <w:color w:val="000000"/>
          <w:sz w:val="22"/>
          <w:szCs w:val="22"/>
          <w:rtl w:val="false"/>
        </w:rPr>
        <w:t xml:space="preserve">.</w:t>
      </w:r>
      <w:r>
        <w:rPr>
          <w:rFonts w:ascii="Times New Roman" w:hAnsi="Times New Roman" w:cs="Times New Roman" w:eastAsia="Times New Roman"/>
          <w:color w:val="000000"/>
          <w:sz w:val="22"/>
          <w:szCs w:val="22"/>
          <w:rtl w:val="false"/>
        </w:rPr>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Foi propost</w:t>
      </w:r>
      <w:r>
        <w:rPr>
          <w:rFonts w:ascii="Times New Roman" w:hAnsi="Times New Roman" w:cs="Times New Roman" w:eastAsia="Times New Roman"/>
          <w:color w:val="000000"/>
          <w:sz w:val="22"/>
          <w:szCs w:val="22"/>
          <w:rtl w:val="false"/>
        </w:rPr>
        <w:t xml:space="preserve">o que os dois grupos testassem e avaliassem o OA, como se fossem alunos ingressantes em CDI. Posteriormente, foram feitas entrevistas com os dois grupos, para determinar as suas impressões sobre o OA, e apresentadas algumas perguntas direcionadas sobre os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Um roteiro para as conversas foi predefinido contendo (i) apresentação do objetivo da pesquisa e apresentação do OA na FARMA; (iii) perguntas dirigidas aos especialistas sobre quais são as suas </w:t>
      </w:r>
      <w:r>
        <w:rPr>
          <w:rFonts w:ascii="Times New Roman" w:hAnsi="Times New Roman" w:cs="Times New Roman" w:eastAsia="Times New Roman"/>
          <w:color w:val="000000"/>
          <w:sz w:val="22"/>
          <w:szCs w:val="22"/>
          <w:rtl w:val="false"/>
        </w:rPr>
        <w:t xml:space="preserve">percepções do OA em relação a disposição dos elementos, clareza, divisão das questões em passos e sua estrutura; (iv) pergunta sobre avaliação geral do OA; (v) pergunta sobre sugestões para o aperfeiçoamento do OA e/ou da plataforma FARMA e (vi) quais dos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propostos seriam mais apropriados aos diferentes conceitos abordados nas questões. Foi deixado claro aos avaliadores que eles tinham liberdade para dar sugestões e fazer críticas em relação à usabilidade da FARMA e quais tipos de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poderiam ser usados. Os dados dos resultados desta avaliação serão apresentados mais adiante.</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Rigor da Pesquisa</w:t>
      </w:r>
      <w:r>
        <w:rPr>
          <w:rFonts w:ascii="Times New Roman" w:hAnsi="Times New Roman" w:cs="Times New Roman" w:eastAsia="Times New Roman"/>
          <w:color w:val="000000"/>
          <w:sz w:val="22"/>
          <w:szCs w:val="22"/>
          <w:rtl w:val="false"/>
        </w:rPr>
        <w:t xml:space="preserve">   </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Para garantir a qualidade e o rigor da pesquisa, os parâmetros aqui utilizados seguem os conceitos de Dresch et al. (2015) que apontam um caminho metodológico para garantir o rigor da pesquisa.</w:t>
      </w:r>
      <w:r/>
    </w:p>
    <w:p>
      <w:pPr>
        <w:ind w:firstLine="709"/>
        <w:jc w:val="both"/>
        <w:spacing w:after="140" w:line="240" w:lineRule="auto"/>
        <w:rPr>
          <w:rFonts w:ascii="Times New Roman" w:hAnsi="Times New Roman" w:cs="Times New Roman" w:eastAsia="Times New Roman"/>
          <w:b/>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Avaliação</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No que diz respeito à avali</w:t>
      </w:r>
      <w:r>
        <w:rPr>
          <w:rFonts w:ascii="Times New Roman" w:hAnsi="Times New Roman" w:cs="Times New Roman" w:eastAsia="Times New Roman"/>
          <w:color w:val="000000"/>
          <w:sz w:val="22"/>
          <w:szCs w:val="22"/>
          <w:rtl w:val="false"/>
        </w:rPr>
        <w:t xml:space="preserve">ação do design, recorreu-se à literatura que trata da validação de OA. Braga et al. (2013), por exemplo, propõem uma metodologia iterativa denominada INTERA (Inteligência, Tecnologias Educacionais e Recursos Acessíveis), que considera o processo de desenvo</w:t>
      </w:r>
      <w:r>
        <w:rPr>
          <w:rFonts w:ascii="Times New Roman" w:hAnsi="Times New Roman" w:cs="Times New Roman" w:eastAsia="Times New Roman"/>
          <w:color w:val="000000"/>
          <w:sz w:val="22"/>
          <w:szCs w:val="22"/>
          <w:rtl w:val="false"/>
        </w:rPr>
        <w:t xml:space="preserve">lvimento de OA como sendo um projeto dividido em vários componentes (fases, papéis, etapas e artefatos). A INTERA aborda, de forma adequada, questões pedagógicas e de validação na elaboração de um OA, satisfazendo os princípios da pesquisa baseada em DSR. </w:t>
      </w:r>
      <w:r>
        <w:rPr>
          <w:rFonts w:ascii="Times New Roman" w:hAnsi="Times New Roman" w:cs="Times New Roman" w:eastAsia="Times New Roman"/>
          <w:color w:val="000000"/>
          <w:sz w:val="22"/>
          <w:szCs w:val="22"/>
          <w:rtl w:val="false"/>
        </w:rPr>
        <w:t xml:space="preserve">Os autores afirmam que é necessário um esforço colaborativo de uma equipe multidisciplinar para produzir um OA de alta qualidade e que seja reutilizável. Uma das etapas propostas são os Testes e a Qualidade, que verificam a aceitação dos OA pelos usuários.</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000000"/>
          <w:sz w:val="22"/>
          <w:szCs w:val="22"/>
          <w:rtl w:val="false"/>
        </w:rPr>
        <w:t xml:space="preserve">Contribuições e Comunicação da Pesquisa</w:t>
      </w:r>
      <w:r>
        <w:rPr>
          <w:rtl w:val="false"/>
        </w:rPr>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As contribuições da pesquisa serão dem</w:t>
      </w:r>
      <w:r>
        <w:rPr>
          <w:rFonts w:ascii="Times New Roman" w:hAnsi="Times New Roman" w:cs="Times New Roman" w:eastAsia="Times New Roman"/>
          <w:color w:val="000000"/>
          <w:sz w:val="22"/>
          <w:szCs w:val="22"/>
          <w:rtl w:val="false"/>
        </w:rPr>
        <w:t xml:space="preserve">onstradas por meio dos resultados obtidos das interações dos alunos com o artefato proposto. Além disso, a construção de OA na FARMA pode ser vista como uma alternativa às dificuldades e às necessidades supracitadas sobre o desempenho dos alunos em CDI 1. </w:t>
      </w:r>
      <w:r>
        <w:rPr>
          <w:color w:val="000000"/>
          <w:rtl w:val="false"/>
        </w:rPr>
        <w:tab/>
      </w:r>
      <w:r>
        <w:rPr>
          <w:rtl w:val="false"/>
        </w:rPr>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Como última etapa de uma pesquisa pautada em DSR, a comunicação da pesquisa, o trabalho foi submetido, apresentado e publicado nos anais de eventos das áreas de Ciência, Tecnologia e Inovação </w:t>
      </w:r>
      <w:r>
        <w:rPr>
          <w:rFonts w:ascii="Times New Roman" w:hAnsi="Times New Roman" w:cs="Times New Roman" w:eastAsia="Times New Roman"/>
          <w:color w:val="000000"/>
          <w:sz w:val="22"/>
          <w:szCs w:val="22"/>
          <w:rtl w:val="false"/>
        </w:rPr>
        <w:t xml:space="preserve">(Autor, 2021a) </w:t>
      </w:r>
      <w:r>
        <w:rPr>
          <w:rFonts w:ascii="Times New Roman" w:hAnsi="Times New Roman" w:cs="Times New Roman" w:eastAsia="Times New Roman"/>
          <w:color w:val="000000"/>
          <w:sz w:val="22"/>
          <w:szCs w:val="22"/>
          <w:rtl w:val="false"/>
        </w:rPr>
        <w:t xml:space="preserve">e Educação Matemática (Autor, 2021b). Os resultados obtidos, assim como a disponibilização de um artefato desenvolvido em plataforma digital denominada FarmaCalc (em desenvolvimento) em formato aberto e de código livre. </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A seguir são apresentados e analisados os dados coletados, que subsidiarão o aprimoramento e a construção de uma nova versão do artefato (produto educacional formado por OA) mais ampla e próxima às necessidades de seus usuários.</w:t>
      </w:r>
      <w:r/>
    </w:p>
    <w:p>
      <w:pPr>
        <w:ind w:firstLine="709"/>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tl w:val="false"/>
        </w:rPr>
      </w:r>
      <w:r/>
    </w:p>
    <w:p>
      <w:pPr>
        <w:ind w:firstLine="709"/>
        <w:spacing w:line="360" w:lineRule="auto"/>
        <w:rPr>
          <w:rFonts w:ascii="Times New Roman" w:hAnsi="Times New Roman" w:cs="Times New Roman" w:eastAsia="Times New Roman"/>
          <w:sz w:val="22"/>
          <w:szCs w:val="22"/>
        </w:rPr>
      </w:pPr>
      <w:r>
        <w:rPr>
          <w:rFonts w:ascii="Times New Roman" w:hAnsi="Times New Roman" w:cs="Times New Roman" w:eastAsia="Times New Roman"/>
          <w:b/>
          <w:sz w:val="22"/>
          <w:szCs w:val="22"/>
          <w:rtl w:val="false"/>
        </w:rPr>
        <w:t xml:space="preserve">RESULTADOS E ANÁLISES</w:t>
      </w:r>
      <w:r>
        <w:rPr>
          <w:rFonts w:ascii="Times New Roman" w:hAnsi="Times New Roman" w:cs="Times New Roman" w:eastAsia="Times New Roman"/>
          <w:sz w:val="22"/>
          <w:szCs w:val="22"/>
          <w:rtl w:val="false"/>
        </w:rPr>
        <w:t xml:space="preserve">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Iniciamos com um comentário sobre a visão geral do OA de uma das especialistas, que destacou alguns pontos importantes sobre seu design.</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Eu errei três vezes e a cada erro ele me deu </w:t>
      </w:r>
      <w:r>
        <w:rPr>
          <w:rFonts w:ascii="Times New Roman" w:hAnsi="Times New Roman" w:cs="Times New Roman" w:eastAsia="Times New Roman"/>
          <w:i/>
          <w:sz w:val="22"/>
          <w:szCs w:val="22"/>
          <w:rtl w:val="false"/>
        </w:rPr>
        <w:t xml:space="preserve">u</w:t>
      </w:r>
      <w:r>
        <w:rPr>
          <w:rFonts w:ascii="Times New Roman" w:hAnsi="Times New Roman" w:cs="Times New Roman" w:eastAsia="Times New Roman"/>
          <w:i/>
          <w:sz w:val="22"/>
          <w:szCs w:val="22"/>
          <w:rtl w:val="false"/>
        </w:rPr>
        <w:t xml:space="preserve">m feedback, na quarta tentativa ele me dá resposta. Eu gostei bastante, mas quando se fala em objeto de aprendizagem me vem a ideia de dinâmico e eu achei um pouco estático… O feedback do vídeo poderia ser mais focado no pré-requisito da função composta”. </w:t>
      </w:r>
      <w:r>
        <w:rPr>
          <w:rFonts w:ascii="Times New Roman" w:hAnsi="Times New Roman" w:cs="Times New Roman" w:eastAsia="Times New Roman"/>
          <w:sz w:val="22"/>
          <w:szCs w:val="22"/>
          <w:rtl w:val="false"/>
        </w:rPr>
        <w:t xml:space="preserve">(E1)</w:t>
      </w:r>
      <w:r/>
    </w:p>
    <w:p>
      <w:pPr>
        <w:ind w:firstLine="709"/>
        <w:jc w:val="both"/>
        <w:spacing w:after="120" w:line="240" w:lineRule="auto"/>
        <w:tabs>
          <w:tab w:val="left" w:pos="1907" w:leader="none"/>
        </w:tabs>
        <w:rPr>
          <w:rFonts w:ascii="Times New Roman" w:hAnsi="Times New Roman" w:cs="Times New Roman" w:eastAsia="Times New Roman"/>
          <w:sz w:val="22"/>
          <w:szCs w:val="22"/>
          <w:shd w:val="clear" w:color="auto" w:fill="auto"/>
        </w:rPr>
      </w:pPr>
      <w:r>
        <w:rPr>
          <w:rFonts w:ascii="Times New Roman" w:hAnsi="Times New Roman" w:cs="Times New Roman" w:eastAsia="Times New Roman"/>
          <w:sz w:val="22"/>
          <w:szCs w:val="22"/>
          <w:rtl w:val="false"/>
        </w:rPr>
        <w:t xml:space="preserve">Um dos pontos apontados por E1 diz respeito à falta de dinamicidade do AO. Outro é a necessidade de repensar pré-requisitos necessários ao conceito matemático, Em relação à ordem apresentada nos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E1 complementa que  </w:t>
      </w:r>
      <w:r/>
    </w:p>
    <w:p>
      <w:pPr>
        <w:ind w:firstLine="709"/>
        <w:jc w:val="both"/>
        <w:spacing w:after="120" w:line="240" w:lineRule="auto"/>
        <w:tabs>
          <w:tab w:val="left" w:pos="1907" w:leader="none"/>
        </w:tabs>
      </w:pPr>
      <w:r>
        <w:rPr>
          <w:rFonts w:ascii="Times New Roman" w:hAnsi="Times New Roman" w:cs="Times New Roman" w:eastAsia="Times New Roman"/>
          <w:sz w:val="22"/>
          <w:szCs w:val="22"/>
          <w:rtl w:val="false"/>
        </w:rPr>
      </w:r>
      <w:r>
        <w:rPr>
          <w:rFonts w:ascii="Times New Roman" w:hAnsi="Times New Roman" w:cs="Times New Roman" w:eastAsia="Times New Roman"/>
          <w:i/>
          <w:sz w:val="22"/>
          <w:szCs w:val="22"/>
          <w:rtl w:val="false"/>
        </w:rPr>
        <w:t xml:space="preserve">O 1º erro levou para a definição, se formos pensar da maneira que você pensa cálculo, talvez esse fosse o último feedback, não o primeiro! … Eu acho que o feedback deve ser mais provocativo, pois soltar a definição provoca muito pouco!”</w:t>
      </w:r>
      <w:r>
        <w:rPr>
          <w:rFonts w:ascii="Times New Roman" w:hAnsi="Times New Roman" w:cs="Times New Roman" w:eastAsia="Times New Roman"/>
          <w:sz w:val="22"/>
          <w:szCs w:val="22"/>
          <w:rtl w:val="false"/>
        </w:rPr>
        <w:t xml:space="preserve"> (E1)</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Na mesma direção, E2 sugere repensar a proposta de trazer uma definição como um feedback inicial, pois isso poderia “provocar” pouco ou nenhuma reflexão sobre o erro cometido:</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A definição parece mais complexa do que o próprio exercício!” </w:t>
      </w:r>
      <w:r>
        <w:rPr>
          <w:rFonts w:ascii="Times New Roman" w:hAnsi="Times New Roman" w:cs="Times New Roman" w:eastAsia="Times New Roman"/>
          <w:sz w:val="22"/>
          <w:szCs w:val="22"/>
          <w:rtl w:val="false"/>
        </w:rPr>
        <w:t xml:space="preserve">(E2)</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Os especialistas tiveram dificuldades em reconhecer a resposta esperada para uma das questões do OA, pelo modo como o enunciado h</w:t>
      </w:r>
      <w:r>
        <w:rPr>
          <w:rFonts w:ascii="Times New Roman" w:hAnsi="Times New Roman" w:cs="Times New Roman" w:eastAsia="Times New Roman"/>
          <w:sz w:val="22"/>
          <w:szCs w:val="22"/>
          <w:rtl w:val="false"/>
        </w:rPr>
        <w:t xml:space="preserve">avia sido elaborado, e pela necessidade em fornecer, como resposta, uma expressão algébrica, o que nos direcionou a trabalhar com bancos de questões já validadas (como ENEM, Prova Brasil e Pisa), e repensar a forma como solicitar a resposta aos estudantes.</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Acho que vocês devem melhorar a formulação da pergunta!” </w:t>
      </w:r>
      <w:r>
        <w:rPr>
          <w:rFonts w:ascii="Times New Roman" w:hAnsi="Times New Roman" w:cs="Times New Roman" w:eastAsia="Times New Roman"/>
          <w:sz w:val="22"/>
          <w:szCs w:val="22"/>
          <w:rtl w:val="false"/>
        </w:rPr>
        <w:t xml:space="preserve">(E1)</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Eu não consegui ver a resposta que eu acho que é a correta! A resposta é ? Deve ser algum problema na plataforma!”</w:t>
      </w:r>
      <w:r>
        <w:rPr>
          <w:rFonts w:ascii="Times New Roman" w:hAnsi="Times New Roman" w:cs="Times New Roman" w:eastAsia="Times New Roman"/>
          <w:sz w:val="22"/>
          <w:szCs w:val="22"/>
          <w:rtl w:val="false"/>
        </w:rPr>
        <w:t xml:space="preserve"> (E2)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Uma questão levantada pelos especialistas foi sobre o público alvo da pesquisa. Não estava muito claro, para eles, a quem o OA estava dirigido.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As questões devem ser formuladas pensando em um público de Pré-Cálculo? O tipo de questão que vocês estão colocando atende ao aluno de Cálculo? Essas questões podem não refletir um direcionamento na realidade dos alunos de Pré-Cálculo!”</w:t>
      </w:r>
      <w:r>
        <w:rPr>
          <w:rFonts w:ascii="Times New Roman" w:hAnsi="Times New Roman" w:cs="Times New Roman" w:eastAsia="Times New Roman"/>
          <w:sz w:val="22"/>
          <w:szCs w:val="22"/>
          <w:rtl w:val="false"/>
        </w:rPr>
        <w:t xml:space="preserve"> (E1)</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i/>
          <w:sz w:val="22"/>
          <w:szCs w:val="22"/>
          <w:rtl w:val="false"/>
        </w:rPr>
        <w:t xml:space="preserve"> “Dentro do contexto da (Universidade em que a especialista e os autores do artigo atuam), eu acho que outras pessoas comprariam essa ideia de ter o instrumento que todo mundo pode </w:t>
      </w:r>
      <w:r>
        <w:rPr>
          <w:rFonts w:ascii="Times New Roman" w:hAnsi="Times New Roman" w:cs="Times New Roman" w:eastAsia="Times New Roman"/>
          <w:i/>
          <w:sz w:val="22"/>
          <w:szCs w:val="22"/>
          <w:rtl w:val="false"/>
        </w:rPr>
        <w:t xml:space="preserve">aplicar aqui, para repensar suas práticas de ensino, mas não usaria dentro de um contexto de sala de aula… poderia ser um protocolo de diagnóstico com feedbacks guiados aos conceitos básicos. Como um guia de estudos aproveitando a estrutura da ferramenta”.</w:t>
      </w:r>
      <w:r>
        <w:rPr>
          <w:rFonts w:ascii="Times New Roman" w:hAnsi="Times New Roman" w:cs="Times New Roman" w:eastAsia="Times New Roman"/>
          <w:sz w:val="22"/>
          <w:szCs w:val="22"/>
          <w:rtl w:val="false"/>
        </w:rPr>
        <w:t xml:space="preserve"> (E1)</w:t>
      </w:r>
      <w:r>
        <w:rPr>
          <w:rtl w:val="false"/>
        </w:rPr>
        <w:tab/>
      </w:r>
      <w:r>
        <w:rPr>
          <w:rtl w:val="false"/>
        </w:rPr>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Esse diálogo com os e</w:t>
      </w:r>
      <w:r>
        <w:rPr>
          <w:rFonts w:ascii="Times New Roman" w:hAnsi="Times New Roman" w:cs="Times New Roman" w:eastAsia="Times New Roman"/>
          <w:sz w:val="22"/>
          <w:szCs w:val="22"/>
          <w:rtl w:val="false"/>
        </w:rPr>
        <w:t xml:space="preserve">specialistas da Educação Matemática foi bastante produtivo, pois levou os autores a refletir sobre alguns aspectos do OA que não estavam claros, o que nos fez repensar especialmente em delimitar qual seria o público alvo e rever a formulação das questões.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Vejamos agora alguns relatos dos professores sobre suas percepções do OA. Um ponto positivo destacado acerca do design do OA foi a presença de </w:t>
      </w:r>
      <w:r>
        <w:rPr>
          <w:rFonts w:ascii="Times New Roman" w:hAnsi="Times New Roman" w:cs="Times New Roman" w:eastAsia="Times New Roman"/>
          <w:i/>
          <w:sz w:val="22"/>
          <w:szCs w:val="22"/>
          <w:rtl w:val="false"/>
        </w:rPr>
        <w:t xml:space="preserve">feedback</w:t>
      </w:r>
      <w:r>
        <w:rPr>
          <w:rFonts w:ascii="Times New Roman" w:hAnsi="Times New Roman" w:cs="Times New Roman" w:eastAsia="Times New Roman"/>
          <w:sz w:val="22"/>
          <w:szCs w:val="22"/>
          <w:rtl w:val="false"/>
        </w:rPr>
        <w:t xml:space="preserve"> com configurações variadas, com destaque ao vídeo.</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i/>
          <w:sz w:val="22"/>
          <w:szCs w:val="22"/>
          <w:rtl w:val="false"/>
        </w:rPr>
        <w:t xml:space="preserve">“Eu achei muito interessante, coloquei respostas incorretas para ver até onde ia. Vi que tem vídeos e aí chega um ponto que dá a resposta, na quarta tentativa. Acho que o aluno seria autosuficiente com o uso dessa plataforma”.</w:t>
      </w:r>
      <w:r>
        <w:rPr>
          <w:rFonts w:ascii="Times New Roman" w:hAnsi="Times New Roman" w:cs="Times New Roman" w:eastAsia="Times New Roman"/>
          <w:sz w:val="22"/>
          <w:szCs w:val="22"/>
          <w:rtl w:val="false"/>
        </w:rPr>
        <w:t xml:space="preserve"> (A1)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É bastante interessante porque dá os feedbacks e no final um vídeo que ajuda a complementar e depois dá a resposta”.</w:t>
      </w:r>
      <w:r>
        <w:rPr>
          <w:rFonts w:ascii="Times New Roman" w:hAnsi="Times New Roman" w:cs="Times New Roman" w:eastAsia="Times New Roman"/>
          <w:sz w:val="22"/>
          <w:szCs w:val="22"/>
          <w:rtl w:val="false"/>
        </w:rPr>
        <w:t xml:space="preserve"> (A3)</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Foram feitos também apontamentos sobre algumas limitações do AO, vinculadas à plataforma FARMA, envolvendo seu layout.</w:t>
      </w:r>
      <w:r/>
    </w:p>
    <w:p>
      <w:pPr>
        <w:ind w:firstLine="709"/>
        <w:jc w:val="both"/>
        <w:spacing w:after="120" w:line="240" w:lineRule="auto"/>
        <w:rPr>
          <w:rFonts w:ascii="Times New Roman" w:hAnsi="Times New Roman" w:cs="Times New Roman" w:eastAsia="Times New Roman"/>
          <w:sz w:val="22"/>
          <w:szCs w:val="22"/>
          <w:shd w:val="clear" w:color="auto" w:fill="auto"/>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O que mais me incomodou foi as duas flechas azuis, pois eu achei que tinha mais ajuda, mas não aparecia nada, só depois de outro erro que aparecia a próxima ajuda.</w:t>
      </w:r>
      <w:r>
        <w:rPr>
          <w:rFonts w:ascii="Times New Roman" w:hAnsi="Times New Roman" w:cs="Times New Roman" w:eastAsia="Times New Roman"/>
          <w:sz w:val="22"/>
          <w:szCs w:val="22"/>
          <w:rtl w:val="false"/>
        </w:rPr>
        <w:t xml:space="preserve">.. </w:t>
      </w:r>
      <w:r>
        <w:rPr>
          <w:rFonts w:ascii="Times New Roman" w:hAnsi="Times New Roman" w:cs="Times New Roman" w:eastAsia="Times New Roman"/>
          <w:i/>
          <w:sz w:val="22"/>
          <w:szCs w:val="22"/>
          <w:rtl w:val="false"/>
        </w:rPr>
        <w:t xml:space="preserve">Incomoda as coisas ficarem bem no canto. O layout deve ser mais amigável”. </w:t>
      </w:r>
      <w:r>
        <w:rPr>
          <w:rFonts w:ascii="Times New Roman" w:hAnsi="Times New Roman" w:cs="Times New Roman" w:eastAsia="Times New Roman"/>
          <w:sz w:val="22"/>
          <w:szCs w:val="22"/>
          <w:rtl w:val="false"/>
        </w:rPr>
        <w:t xml:space="preserve">(A2)</w:t>
      </w:r>
      <w:r/>
    </w:p>
    <w:p>
      <w:pPr>
        <w:ind w:firstLine="709"/>
        <w:jc w:val="both"/>
        <w:spacing w:after="120" w:line="240" w:lineRule="auto"/>
      </w:pPr>
      <w:r>
        <w:rPr>
          <w:rFonts w:ascii="Times New Roman" w:hAnsi="Times New Roman" w:cs="Times New Roman" w:eastAsia="Times New Roman"/>
          <w:sz w:val="22"/>
          <w:szCs w:val="22"/>
          <w:rtl w:val="false"/>
        </w:rPr>
      </w:r>
      <w:r>
        <w:rPr>
          <w:rFonts w:ascii="Times New Roman" w:hAnsi="Times New Roman" w:cs="Times New Roman" w:eastAsia="Times New Roman"/>
          <w:i/>
          <w:sz w:val="22"/>
          <w:szCs w:val="22"/>
          <w:rtl w:val="false"/>
        </w:rPr>
        <w:t xml:space="preserve">“No quarto erro ele já me dá a resposta, então pra que eu preciso digitar a resposta de novo?”</w:t>
      </w:r>
      <w:r>
        <w:rPr>
          <w:rFonts w:ascii="Times New Roman" w:hAnsi="Times New Roman" w:cs="Times New Roman" w:eastAsia="Times New Roman"/>
          <w:sz w:val="22"/>
          <w:szCs w:val="22"/>
          <w:rtl w:val="false"/>
        </w:rPr>
        <w:t xml:space="preserve"> (A4)</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i/>
          <w:sz w:val="22"/>
          <w:szCs w:val="22"/>
          <w:rtl w:val="false"/>
        </w:rPr>
        <w:t xml:space="preserve">“Eu tentei uns doze minutos e ele dava erro </w:t>
      </w:r>
      <w:r>
        <w:rPr>
          <w:rFonts w:ascii="Times New Roman" w:hAnsi="Times New Roman" w:cs="Times New Roman" w:eastAsia="Times New Roman"/>
          <w:i/>
          <w:sz w:val="22"/>
          <w:szCs w:val="22"/>
          <w:rtl w:val="false"/>
        </w:rPr>
        <w:t xml:space="preserve">no </w:t>
      </w:r>
      <m:oMath>
        <m:r>
          <w:rPr>
            <w:rFonts w:ascii="Times New Roman" w:hAnsi="Times New Roman" w:cs="Times New Roman" w:eastAsia="Times New Roman"/>
            <w:i/>
            <w:sz w:val="22"/>
            <w:szCs w:val="22"/>
          </w:rPr>
          <m:rPr/>
          <m:t>4</m:t>
        </m:r>
        <m:r>
          <w:rPr>
            <w:rFonts w:ascii="Times New Roman" w:hAnsi="Times New Roman" w:cs="Times New Roman" w:eastAsia="Times New Roman"/>
            <w:i/>
            <w:sz w:val="22"/>
            <w:szCs w:val="22"/>
          </w:rPr>
          <m:rPr/>
          <m:t>π</m:t>
        </m:r>
      </m:oMath>
      <w:r>
        <w:rPr>
          <w:rFonts w:ascii="Times New Roman" w:hAnsi="Times New Roman" w:cs="Times New Roman" w:eastAsia="Times New Roman"/>
          <w:i/>
          <w:sz w:val="22"/>
          <w:szCs w:val="22"/>
          <w:rtl w:val="false"/>
        </w:rPr>
        <w:t xml:space="preserve">, pois é </w:t>
      </w:r>
      <m:oMath>
        <m:r>
          <w:rPr>
            <w:rFonts w:ascii="Times New Roman" w:hAnsi="Times New Roman" w:cs="Times New Roman" w:eastAsia="Times New Roman"/>
            <w:i/>
            <w:sz w:val="22"/>
            <w:szCs w:val="22"/>
          </w:rPr>
          <m:rPr/>
          <m:t>4</m:t>
        </m:r>
      </m:oMath>
      <w:r>
        <w:rPr>
          <w:rFonts w:ascii="Times New Roman" w:hAnsi="Times New Roman" w:cs="Times New Roman" w:eastAsia="Times New Roman"/>
          <w:i/>
          <w:sz w:val="22"/>
          <w:szCs w:val="22"/>
          <w:rtl w:val="false"/>
        </w:rPr>
        <w:t xml:space="preserve"> *</w:t>
      </w:r>
      <m:oMath>
        <m:r>
          <w:rPr>
            <w:rFonts w:ascii="Times New Roman" w:hAnsi="Times New Roman" w:cs="Times New Roman" w:eastAsia="Times New Roman"/>
            <w:i/>
            <w:sz w:val="22"/>
            <w:szCs w:val="22"/>
          </w:rPr>
          <m:rPr/>
          <m:t> </m:t>
        </m:r>
        <m:r>
          <w:rPr>
            <w:rFonts w:ascii="Times New Roman" w:hAnsi="Times New Roman" w:cs="Times New Roman" w:eastAsia="Times New Roman"/>
            <w:i/>
            <w:sz w:val="22"/>
            <w:szCs w:val="22"/>
          </w:rPr>
          <m:rPr/>
          <m:t>π</m:t>
        </m:r>
      </m:oMath>
      <w:r>
        <w:rPr>
          <w:rFonts w:ascii="Times New Roman" w:hAnsi="Times New Roman" w:cs="Times New Roman" w:eastAsia="Times New Roman"/>
          <w:i/>
          <w:sz w:val="22"/>
          <w:szCs w:val="22"/>
          <w:rtl w:val="false"/>
        </w:rPr>
        <w:t xml:space="preserve"> né?”</w:t>
      </w:r>
      <w:r>
        <w:rPr>
          <w:rFonts w:ascii="Times New Roman" w:hAnsi="Times New Roman" w:cs="Times New Roman" w:eastAsia="Times New Roman"/>
          <w:sz w:val="22"/>
          <w:szCs w:val="22"/>
          <w:rtl w:val="false"/>
        </w:rPr>
        <w:t xml:space="preserve"> (A5)</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Comentários sobre o público-alvo ao qual é destinado o OA também foram feitos nesse grupo, assim como a ordem com a qual os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eram apresentados.</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i/>
          <w:sz w:val="22"/>
          <w:szCs w:val="22"/>
          <w:rtl w:val="false"/>
        </w:rPr>
        <w:t xml:space="preserve">“A minha dúvida era, se isso é mais como um reforço escolar? Pois as primeiras dicas eram definiçõ</w:t>
      </w:r>
      <w:r>
        <w:rPr>
          <w:rFonts w:ascii="Times New Roman" w:hAnsi="Times New Roman" w:cs="Times New Roman" w:eastAsia="Times New Roman"/>
          <w:i/>
          <w:sz w:val="22"/>
          <w:szCs w:val="22"/>
          <w:rtl w:val="false"/>
        </w:rPr>
        <w:t xml:space="preserve">es com simbologias e tal, aí percebi que o aluno tem que ter o conhecimento das definições para relembrar. Assim deduzi que era como reforço! Será que a definição como primeira dica é a mais eficiente? Será que usar o gráfico não seria mais interessante?” </w:t>
      </w:r>
      <w:r>
        <w:rPr>
          <w:rFonts w:ascii="Times New Roman" w:hAnsi="Times New Roman" w:cs="Times New Roman" w:eastAsia="Times New Roman"/>
          <w:sz w:val="22"/>
          <w:szCs w:val="22"/>
          <w:rtl w:val="false"/>
        </w:rPr>
        <w:t xml:space="preserve">(A3)</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i/>
          <w:sz w:val="22"/>
          <w:szCs w:val="22"/>
          <w:rtl w:val="false"/>
        </w:rPr>
        <w:t xml:space="preserve">Acho que a definição ao final fica mais interessante!”</w:t>
      </w:r>
      <w:r>
        <w:rPr>
          <w:rFonts w:ascii="Times New Roman" w:hAnsi="Times New Roman" w:cs="Times New Roman" w:eastAsia="Times New Roman"/>
          <w:sz w:val="22"/>
          <w:szCs w:val="22"/>
          <w:rtl w:val="false"/>
        </w:rPr>
        <w:t xml:space="preserve"> (A2)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i/>
          <w:sz w:val="22"/>
          <w:szCs w:val="22"/>
          <w:rtl w:val="false"/>
        </w:rPr>
        <w:t xml:space="preserve">“Eu também concordo, porque com as dicas numéricas e gráficas ele vai construindo o conceito e a definição lá no fim”.</w:t>
      </w:r>
      <w:r>
        <w:rPr>
          <w:rFonts w:ascii="Times New Roman" w:hAnsi="Times New Roman" w:cs="Times New Roman" w:eastAsia="Times New Roman"/>
          <w:sz w:val="22"/>
          <w:szCs w:val="22"/>
          <w:rtl w:val="false"/>
        </w:rPr>
        <w:t xml:space="preserve"> (A5)</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Ao refletir sobre as respostas dos dois grupos, pode-se fazer uma análise sobre os seguintes aspectos: Design do OA, Tipo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e Ordem e Formulação das Questões.</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Sobre o design do OA, de forma geral ele foi bem aceito. Mas um dos pontos levantados foi a questão de estar muito estático, o que levou os autores a repe</w:t>
      </w:r>
      <w:r>
        <w:rPr>
          <w:rFonts w:ascii="Times New Roman" w:hAnsi="Times New Roman" w:cs="Times New Roman" w:eastAsia="Times New Roman"/>
          <w:sz w:val="22"/>
          <w:szCs w:val="22"/>
          <w:rtl w:val="false"/>
        </w:rPr>
        <w:t xml:space="preserve">nsar a formulação das questões, no intuito de atribuir um caráter mais dinâmico, e torná-las mais claras para o usuário. Houve problemas no preenchimento da resposta com uma fórmula, o que levou a suprimir esse tipo de questão em uma próxima versão do OA. </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 diversidade de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com destaque para o vídeo, foi apontada como um ponto positivo, mas a ordem de apresentação deve ser revista, pois, o aluno deve receber os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de tal forma que ele vá construindo os conceitos até chegar à definição formal.</w:t>
      </w:r>
      <w:r/>
    </w:p>
    <w:p>
      <w:pPr>
        <w:ind w:firstLine="709"/>
        <w:jc w:val="both"/>
        <w:spacing w:after="120" w:line="240" w:lineRule="auto"/>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Em relação à formulação das questões, não pareciam muito atrativas, apresentando um caráter muito técnico, o que poderia desmotivar o aluno. Assim,  há necessidade de uma reestruturação das questões e estudo mais aprofundado para sua ampliação. </w:t>
      </w:r>
      <w:r/>
    </w:p>
    <w:p>
      <w:pPr>
        <w:ind w:firstLine="709"/>
        <w:jc w:val="both"/>
        <w:spacing w:after="120" w:line="240" w:lineRule="auto"/>
        <w:rPr>
          <w:rFonts w:ascii="Times New Roman" w:hAnsi="Times New Roman" w:cs="Times New Roman" w:eastAsia="Times New Roman"/>
          <w:sz w:val="22"/>
          <w:szCs w:val="22"/>
          <w:highlight w:val="none"/>
        </w:rPr>
      </w:pPr>
      <w:r>
        <w:rPr>
          <w:rFonts w:ascii="Times New Roman" w:hAnsi="Times New Roman" w:cs="Times New Roman" w:eastAsia="Times New Roman"/>
          <w:sz w:val="22"/>
          <w:szCs w:val="22"/>
          <w:rtl w:val="false"/>
        </w:rPr>
        <w:t xml:space="preserve">Após esta avaliação o artefato será reestruturado e melhorado a fim de atender as sugestões levantadas pelos especialistas. A Figura 3 mostra</w:t>
      </w:r>
      <w:r>
        <w:rPr>
          <w:rFonts w:ascii="Times New Roman" w:hAnsi="Times New Roman" w:cs="Times New Roman" w:eastAsia="Times New Roman"/>
          <w:sz w:val="22"/>
          <w:szCs w:val="22"/>
          <w:rtl w:val="false"/>
        </w:rPr>
        <w:t xml:space="preserve"> que o produto será composto por três OA, relacionados com os estratos de conhecimento, a saber: numérico, algébrico e funcional, conforme categorização proposta por (Cuevas-Vallejo et al., 2018). A definição das questões que comporão cada OA, bem como os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associados a cada uma delas, fazem parte da próxima fase de design.</w:t>
      </w:r>
      <w:r>
        <w:rPr>
          <w:rtl w:val="false"/>
        </w:rPr>
      </w:r>
      <w:r/>
    </w:p>
    <w:p>
      <w:pPr>
        <w:ind w:firstLine="720"/>
        <w:jc w:val="both"/>
        <w:spacing w:after="12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202124"/>
          <w:sz w:val="22"/>
          <w:szCs w:val="22"/>
          <w:highlight w:val="none"/>
          <w:rtl w:val="false"/>
        </w:rPr>
      </w:r>
      <w:r>
        <w:rPr>
          <w:rFonts w:ascii="Times New Roman" w:hAnsi="Times New Roman" w:cs="Times New Roman" w:eastAsia="Times New Roman"/>
          <w:b/>
          <w:color w:val="202124"/>
          <w:sz w:val="22"/>
          <w:szCs w:val="22"/>
          <w:highlight w:val="none"/>
          <w:rtl w:val="false"/>
        </w:rPr>
      </w:r>
    </w:p>
    <w:p>
      <w:pPr>
        <w:ind w:firstLine="720"/>
        <w:jc w:val="both"/>
        <w:spacing w:after="120" w:line="276" w:lineRule="auto"/>
        <w:rPr>
          <w:rFonts w:ascii="Times New Roman" w:hAnsi="Times New Roman" w:cs="Times New Roman" w:eastAsia="Times New Roman"/>
          <w:b/>
          <w:color w:val="202124"/>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b/>
          <w:color w:val="202124"/>
          <w:sz w:val="22"/>
          <w:szCs w:val="22"/>
          <w:rtl w:val="false"/>
        </w:rPr>
        <w:t xml:space="preserve">Figura 3</w:t>
      </w:r>
      <w:r>
        <w:rPr>
          <w:rtl w:val="false"/>
        </w:rPr>
      </w:r>
      <w:r/>
    </w:p>
    <w:p>
      <w:pPr>
        <w:jc w:val="both"/>
        <w:spacing w:after="120" w:line="276"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202124"/>
          <w:sz w:val="22"/>
          <w:szCs w:val="22"/>
          <w:rtl w:val="false"/>
        </w:rPr>
        <w:tab/>
      </w:r>
      <w:r>
        <w:rPr>
          <w:rFonts w:ascii="Times New Roman" w:hAnsi="Times New Roman" w:cs="Times New Roman" w:eastAsia="Times New Roman"/>
          <w:i/>
          <w:color w:val="202124"/>
          <w:sz w:val="22"/>
          <w:szCs w:val="22"/>
          <w:rtl w:val="false"/>
        </w:rPr>
        <w:t xml:space="preserve">Estrutura dos OA.</w:t>
      </w:r>
      <w:r>
        <w:rPr>
          <w:rFonts w:ascii="Times New Roman" w:hAnsi="Times New Roman" w:cs="Times New Roman" w:eastAsia="Times New Roman"/>
          <w:color w:val="202124"/>
          <w:sz w:val="22"/>
          <w:szCs w:val="22"/>
          <w:rtl w:val="false"/>
        </w:rPr>
        <w:t xml:space="preserve"> </w:t>
      </w:r>
      <w:r>
        <w:rPr>
          <w:rtl w:val="false"/>
        </w:rPr>
      </w:r>
      <w:r/>
    </w:p>
    <w:p>
      <w:pPr>
        <w:jc w:val="center"/>
        <w:spacing w:before="120" w:line="427"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color w:val="000000"/>
        </w:rPr>
        <mc:AlternateContent>
          <mc:Choice Requires="wpg">
            <w:drawing>
              <wp:inline xmlns:wp="http://schemas.openxmlformats.org/drawingml/2006/wordprocessingDrawing" distT="0" distB="0" distL="0" distR="0">
                <wp:extent cx="4587238" cy="3314700"/>
                <wp:effectExtent l="0" t="0" r="0" b="0"/>
                <wp:docPr id="5" name="image3.png" hidden="0"/>
                <wp:cNvGraphicFramePr/>
                <a:graphic xmlns:a="http://schemas.openxmlformats.org/drawingml/2006/main">
                  <a:graphicData uri="http://schemas.openxmlformats.org/drawingml/2006/picture">
                    <pic:pic xmlns:pic="http://schemas.openxmlformats.org/drawingml/2006/picture">
                      <pic:nvPicPr>
                        <pic:cNvPr id="0" name="image3.png" hidden="0"/>
                        <pic:cNvPicPr/>
                        <pic:nvPr isPhoto="0" userDrawn="0"/>
                      </pic:nvPicPr>
                      <pic:blipFill>
                        <a:blip r:embed="rId13"/>
                        <a:srcRect l="0" t="0" r="0" b="0"/>
                        <a:stretch/>
                      </pic:blipFill>
                      <pic:spPr bwMode="auto">
                        <a:xfrm>
                          <a:off x="0" y="0"/>
                          <a:ext cx="4587238" cy="3314700"/>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361.2pt;height:261.0pt;">
                <v:path textboxrect="0,0,0,0"/>
                <v:imagedata r:id="rId13" o:title=""/>
              </v:shape>
            </w:pict>
          </mc:Fallback>
        </mc:AlternateContent>
      </w:r>
      <w:r>
        <w:rPr>
          <w:rtl w:val="false"/>
        </w:rPr>
      </w:r>
      <w:r/>
    </w:p>
    <w:p>
      <w:pPr>
        <w:ind w:firstLine="720"/>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As questões envolvendo o estrato funcional explorarão habilidades de raciocínio proporcional, covariacional e quantitativo. Ressalta-se ainda que, para cada questão, serão associados os </w:t>
      </w:r>
      <w:r>
        <w:rPr>
          <w:rFonts w:ascii="Times New Roman" w:hAnsi="Times New Roman" w:cs="Times New Roman" w:eastAsia="Times New Roman"/>
          <w:i/>
          <w:color w:val="000000"/>
          <w:sz w:val="22"/>
          <w:szCs w:val="22"/>
          <w:rtl w:val="false"/>
        </w:rPr>
        <w:t xml:space="preserve">feedbacks</w:t>
      </w:r>
      <w:r>
        <w:rPr>
          <w:rFonts w:ascii="Times New Roman" w:hAnsi="Times New Roman" w:cs="Times New Roman" w:eastAsia="Times New Roman"/>
          <w:color w:val="000000"/>
          <w:sz w:val="22"/>
          <w:szCs w:val="22"/>
          <w:rtl w:val="false"/>
        </w:rPr>
        <w:t xml:space="preserve"> mais adequados, dentre as opções apresentadas no lado direito da Figura 3, preparados com base nas teorias de Múltiplas Representações Externas (Ainsworth, 2006) e dos Registros de Representação Semiótic</w:t>
      </w:r>
      <w:r>
        <w:rPr>
          <w:rFonts w:ascii="Times New Roman" w:hAnsi="Times New Roman" w:cs="Times New Roman" w:eastAsia="Times New Roman"/>
          <w:color w:val="000000"/>
          <w:sz w:val="22"/>
          <w:szCs w:val="22"/>
          <w:rtl w:val="false"/>
        </w:rPr>
        <w:t xml:space="preserve">a (Duval &amp; Moretti, 2018). Essas teorias estão fundamentadas no uso de técnicas para representar, organizar, apresentar e compreender o conhecimento de conceitos matemáticos, e em particular neste trabalho, conceitos necessários para a aprendizagem de CDI.</w:t>
      </w:r>
      <w:r/>
    </w:p>
    <w:p>
      <w:pPr>
        <w:jc w:val="both"/>
        <w:spacing w:after="140" w:line="240" w:lineRule="auto"/>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tl w:val="false"/>
        </w:rPr>
      </w:r>
      <w:r/>
    </w:p>
    <w:p>
      <w:pPr>
        <w:ind w:firstLine="709"/>
        <w:jc w:val="both"/>
        <w:spacing w:after="120"/>
        <w:rPr>
          <w:rFonts w:ascii="Times New Roman" w:hAnsi="Times New Roman" w:cs="Times New Roman" w:eastAsia="Times New Roman"/>
          <w:b/>
          <w:sz w:val="22"/>
          <w:szCs w:val="22"/>
        </w:rPr>
      </w:pPr>
      <w:r>
        <w:rPr>
          <w:rFonts w:ascii="Times New Roman" w:hAnsi="Times New Roman" w:cs="Times New Roman" w:eastAsia="Times New Roman"/>
          <w:b/>
          <w:sz w:val="22"/>
          <w:szCs w:val="22"/>
          <w:rtl w:val="false"/>
        </w:rPr>
        <w:t xml:space="preserve">CONCLU</w:t>
      </w:r>
      <w:r>
        <w:rPr>
          <w:rFonts w:ascii="Times New Roman" w:hAnsi="Times New Roman" w:cs="Times New Roman" w:eastAsia="Times New Roman"/>
          <w:b/>
          <w:sz w:val="22"/>
          <w:szCs w:val="22"/>
          <w:rtl w:val="false"/>
        </w:rPr>
        <w:t xml:space="preserve">SÕES</w:t>
      </w:r>
      <w:r>
        <w:rPr>
          <w:b/>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Este artigo apresentou os primeiros resultados de uma pesquisa mais ampla com interface nas áreas de Educação Matemática e Informática na Educação. Seu principal objetivo é a concepção e construção de um conjunto de</w:t>
      </w:r>
      <w:r>
        <w:rPr>
          <w:rtl w:val="false"/>
        </w:rPr>
        <w:t xml:space="preserve"> </w:t>
      </w:r>
      <w:r>
        <w:rPr>
          <w:rFonts w:ascii="Times New Roman" w:hAnsi="Times New Roman" w:cs="Times New Roman" w:eastAsia="Times New Roman"/>
          <w:sz w:val="22"/>
          <w:szCs w:val="22"/>
          <w:rtl w:val="false"/>
        </w:rPr>
        <w:t xml:space="preserve">OA para a remediação de erros de Matemática que envolvem os conceitos necessários para a disciplina de CDI 1, os quais estão sendo implementados em uma plataforma online </w:t>
      </w:r>
      <w:r>
        <w:rPr>
          <w:rFonts w:ascii="Times New Roman" w:hAnsi="Times New Roman" w:cs="Times New Roman" w:eastAsia="Times New Roman"/>
          <w:sz w:val="22"/>
          <w:szCs w:val="22"/>
          <w:rtl w:val="false"/>
        </w:rPr>
        <w:t xml:space="preserve">vinculada à Ferramenta de Autoria FARMA. O instrumento proporcionará novas oportunidades para alunos que cursarão a disciplina de CDI, a fim de que possam explorar conceitos matemáticos, contribuindo para um melhor desempenho e, consequentemente, espera-se</w:t>
      </w:r>
      <w:r>
        <w:rPr>
          <w:rtl w:val="false"/>
        </w:rPr>
        <w:t xml:space="preserve">     </w:t>
      </w:r>
      <w:r>
        <w:rPr>
          <w:rFonts w:ascii="Times New Roman" w:hAnsi="Times New Roman" w:cs="Times New Roman" w:eastAsia="Times New Roman"/>
          <w:sz w:val="22"/>
          <w:szCs w:val="22"/>
          <w:rtl w:val="false"/>
        </w:rPr>
        <w:t xml:space="preserve"> um aumento no número de aprovações.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No desenvolvimento da pesquisa, utilizou-se a metodologia pautada em Design Science Research - DSR (Dresch e</w:t>
      </w:r>
      <w:r>
        <w:rPr>
          <w:rFonts w:ascii="Times New Roman" w:hAnsi="Times New Roman" w:cs="Times New Roman" w:eastAsia="Times New Roman"/>
          <w:sz w:val="22"/>
          <w:szCs w:val="22"/>
          <w:rtl w:val="false"/>
        </w:rPr>
        <w:t xml:space="preserve">t al., 2015; Brocke et al., 2020). Em específico, neste artigo, procurou-se apresentar as duas diretrizes do modelo da DSR, a relevância do problema e a construção do artefato, e, por fim, uma primeira etapa de avaliação do design do instrumento proposto. </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Nesta etapa inicial, a avaliação teve como público-</w:t>
      </w:r>
      <w:r>
        <w:rPr>
          <w:rFonts w:ascii="Times New Roman" w:hAnsi="Times New Roman" w:cs="Times New Roman" w:eastAsia="Times New Roman"/>
          <w:sz w:val="22"/>
          <w:szCs w:val="22"/>
          <w:rtl w:val="false"/>
        </w:rPr>
        <w:t xml:space="preserve">alvo um grupo em potencial para a utilização do OA, no intuito de validar um modelo baseado na prontidão de conceitos de CDI, adaptado e implementado em uma plataforma para a remediação de erros de matemática (FARMA). Tal modelo foi testado com diferentes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com o objetivo de verificar quais intervenções seriam mais apropriadas a diferentes contextos.</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Dos resultados obtidos, pode-se fazer</w:t>
      </w:r>
      <w:r>
        <w:rPr>
          <w:rFonts w:ascii="Times New Roman" w:hAnsi="Times New Roman" w:cs="Times New Roman" w:eastAsia="Times New Roman"/>
          <w:sz w:val="22"/>
          <w:szCs w:val="22"/>
          <w:rtl w:val="false"/>
        </w:rPr>
        <w:t xml:space="preserve"> um levantamento sobre os seguintes aspectos do OA: o primeiro trata-se do design do OA, que de forma geral  foi bem aceito. Mas as questões devem ser melhoradas de forma que tenham um caráter mais dinâmico, e sua formulação seja mais clara para o usuário.</w:t>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 segundo refere-se aos tipos de </w:t>
      </w:r>
      <w:r>
        <w:rPr>
          <w:rFonts w:ascii="Times New Roman" w:hAnsi="Times New Roman" w:cs="Times New Roman" w:eastAsia="Times New Roman"/>
          <w:i/>
          <w:sz w:val="22"/>
          <w:szCs w:val="22"/>
          <w:rtl w:val="false"/>
        </w:rPr>
        <w:t xml:space="preserve">feedbacks e sua ordem de apresentação</w:t>
      </w:r>
      <w:r>
        <w:rPr>
          <w:rFonts w:ascii="Times New Roman" w:hAnsi="Times New Roman" w:cs="Times New Roman" w:eastAsia="Times New Roman"/>
          <w:sz w:val="22"/>
          <w:szCs w:val="22"/>
          <w:rtl w:val="false"/>
        </w:rPr>
        <w:t xml:space="preserve">, nesse momento o aluno deve receber os </w:t>
      </w:r>
      <w:r>
        <w:rPr>
          <w:rFonts w:ascii="Times New Roman" w:hAnsi="Times New Roman" w:cs="Times New Roman" w:eastAsia="Times New Roman"/>
          <w:i/>
          <w:sz w:val="22"/>
          <w:szCs w:val="22"/>
          <w:rtl w:val="false"/>
        </w:rPr>
        <w:t xml:space="preserve">feedbacks</w:t>
      </w:r>
      <w:r>
        <w:rPr>
          <w:rFonts w:ascii="Times New Roman" w:hAnsi="Times New Roman" w:cs="Times New Roman" w:eastAsia="Times New Roman"/>
          <w:sz w:val="22"/>
          <w:szCs w:val="22"/>
          <w:rtl w:val="false"/>
        </w:rPr>
        <w:t xml:space="preserve"> de tal forma que ele vá construindo os conceitos até chegar à definição formal. O último aspecto está relacionado a formulação das questões, nas quais houve a necessidade de uma reestruturação das questões e estudo mais aprofundado para sua ampliação. </w:t>
      </w:r>
      <w:r/>
    </w:p>
    <w:p>
      <w:pPr>
        <w:ind w:firstLine="709"/>
        <w:jc w:val="both"/>
        <w:spacing w:after="120"/>
        <w:rPr>
          <w:rFonts w:ascii="Times New Roman" w:hAnsi="Times New Roman" w:cs="Times New Roman" w:eastAsia="Times New Roman"/>
          <w:sz w:val="22"/>
          <w:szCs w:val="22"/>
        </w:rPr>
      </w:pPr>
      <w:r/>
      <w:bookmarkStart w:id="0" w:name="_heading=h.gjdgxs"/>
      <w:r/>
      <w:bookmarkEnd w:id="0"/>
      <w:r>
        <w:rPr>
          <w:rFonts w:ascii="Times New Roman" w:hAnsi="Times New Roman" w:cs="Times New Roman" w:eastAsia="Times New Roman"/>
          <w:sz w:val="22"/>
          <w:szCs w:val="22"/>
          <w:rtl w:val="false"/>
        </w:rPr>
        <w:t xml:space="preserve">Fazendo os ajustes necessários e ampliando a gama de questões, pode-se seguir para as próximas e</w:t>
      </w:r>
      <w:r>
        <w:rPr>
          <w:rFonts w:ascii="Times New Roman" w:hAnsi="Times New Roman" w:cs="Times New Roman" w:eastAsia="Times New Roman"/>
          <w:sz w:val="22"/>
          <w:szCs w:val="22"/>
          <w:rtl w:val="false"/>
        </w:rPr>
        <w:t xml:space="preserve">tapas da pesquisa, que incluem a organização das 24 questões que abordem os conceitos de Matemática necessários para a aprendizagem de CDI e que explorem os estratos do conhecimento numérico, algébrico e funcional, bem como a aplicação de um teste para a v</w:t>
      </w:r>
      <w:r>
        <w:rPr>
          <w:rFonts w:ascii="Times New Roman" w:hAnsi="Times New Roman" w:cs="Times New Roman" w:eastAsia="Times New Roman"/>
          <w:sz w:val="22"/>
          <w:szCs w:val="22"/>
          <w:rtl w:val="false"/>
        </w:rPr>
        <w:t xml:space="preserve">alidação, em sala de aula, com uma turma de alunos iniciantes em CDI. Espera-se que, ao término da pesquisa, tenha-se um produto educacional capaz de auxiliar os alunos em suas dificuldades em conceitos de matemática necessários para a aprendizagem de CDI.</w:t>
      </w:r>
      <w:r/>
    </w:p>
    <w:p>
      <w:pPr>
        <w:ind w:firstLine="709"/>
        <w:jc w:val="both"/>
        <w:spacing w:after="120"/>
        <w:rPr>
          <w:rFonts w:ascii="Times New Roman" w:hAnsi="Times New Roman" w:cs="Times New Roman" w:eastAsia="Times New Roman"/>
          <w:sz w:val="22"/>
          <w:szCs w:val="22"/>
        </w:rPr>
      </w:pP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b/>
          <w:rtl w:val="false"/>
        </w:rPr>
        <w:t xml:space="preserve">DECLARAÇÕES DE CONTRIBUIÇÕES DOS AUTORES</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Autor 1, Autor 2 e Autor 3 conceberam a ideia apresentada no artigo. </w:t>
      </w:r>
      <w:r>
        <w:rPr>
          <w:rFonts w:ascii="Times New Roman" w:hAnsi="Times New Roman" w:cs="Times New Roman" w:eastAsia="Times New Roman"/>
          <w:sz w:val="22"/>
          <w:szCs w:val="22"/>
          <w:rtl w:val="false"/>
        </w:rPr>
        <w:t xml:space="preserve">Autor 1</w:t>
      </w:r>
      <w:r>
        <w:rPr>
          <w:rFonts w:ascii="Times New Roman" w:hAnsi="Times New Roman" w:cs="Times New Roman" w:eastAsia="Times New Roman"/>
          <w:sz w:val="22"/>
          <w:szCs w:val="22"/>
          <w:rtl w:val="false"/>
        </w:rPr>
        <w:t xml:space="preserve"> elaborou o Objeto de Aprendizagem, coletou os dados e realizou as análises sob a orientação de </w:t>
      </w:r>
      <w:r>
        <w:rPr>
          <w:rFonts w:ascii="Times New Roman" w:hAnsi="Times New Roman" w:cs="Times New Roman" w:eastAsia="Times New Roman"/>
          <w:sz w:val="22"/>
          <w:szCs w:val="22"/>
          <w:rtl w:val="false"/>
        </w:rPr>
        <w:t xml:space="preserve">Autor 2</w:t>
      </w:r>
      <w:r>
        <w:rPr>
          <w:rFonts w:ascii="Times New Roman" w:hAnsi="Times New Roman" w:cs="Times New Roman" w:eastAsia="Times New Roman"/>
          <w:sz w:val="22"/>
          <w:szCs w:val="22"/>
          <w:rtl w:val="false"/>
        </w:rPr>
        <w:t xml:space="preserve"> e </w:t>
      </w:r>
      <w:r>
        <w:rPr>
          <w:rFonts w:ascii="Times New Roman" w:hAnsi="Times New Roman" w:cs="Times New Roman" w:eastAsia="Times New Roman"/>
          <w:sz w:val="22"/>
          <w:szCs w:val="22"/>
          <w:rtl w:val="false"/>
        </w:rPr>
        <w:t xml:space="preserve">Autor 3</w:t>
      </w:r>
      <w:r>
        <w:rPr>
          <w:rFonts w:ascii="Times New Roman" w:hAnsi="Times New Roman" w:cs="Times New Roman" w:eastAsia="Times New Roman"/>
          <w:sz w:val="22"/>
          <w:szCs w:val="22"/>
          <w:rtl w:val="false"/>
        </w:rPr>
        <w:t xml:space="preserve">. Os três autores discutiram os resultados e contribuíram para a versão final do manuscrito.</w:t>
      </w:r>
      <w:r/>
    </w:p>
    <w:p>
      <w:pPr>
        <w:ind w:firstLine="709"/>
        <w:jc w:val="both"/>
        <w:spacing w:after="120"/>
        <w:rPr>
          <w:rFonts w:ascii="Times New Roman" w:hAnsi="Times New Roman" w:cs="Times New Roman" w:eastAsia="Times New Roman"/>
          <w:sz w:val="22"/>
          <w:szCs w:val="22"/>
        </w:rPr>
      </w:pP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b/>
          <w:rtl w:val="false"/>
        </w:rPr>
        <w:t xml:space="preserve">DECLARAÇÃO DE DISPONIBILIDADE DE DADOS</w:t>
      </w:r>
      <w:r>
        <w:rPr>
          <w:rtl w:val="false"/>
        </w:rPr>
      </w:r>
      <w:r/>
    </w:p>
    <w:p>
      <w:pPr>
        <w:ind w:firstLine="709"/>
        <w:jc w:val="both"/>
        <w:spacing w:after="120"/>
        <w:rPr>
          <w:rFonts w:ascii="Times New Roman" w:hAnsi="Times New Roman" w:cs="Times New Roman" w:eastAsia="Times New Roman"/>
          <w:sz w:val="22"/>
          <w:szCs w:val="22"/>
        </w:rPr>
      </w:pPr>
      <w:r>
        <w:rPr>
          <w:rFonts w:ascii="Times New Roman" w:hAnsi="Times New Roman" w:cs="Times New Roman" w:eastAsia="Times New Roman"/>
          <w:sz w:val="22"/>
          <w:szCs w:val="22"/>
          <w:rtl w:val="false"/>
        </w:rPr>
        <w:t xml:space="preserve">Os dados que apoiam este artigo encontram-se sob a guarda de </w:t>
      </w:r>
      <w:r>
        <w:rPr>
          <w:rFonts w:ascii="Times New Roman" w:hAnsi="Times New Roman" w:cs="Times New Roman" w:eastAsia="Times New Roman"/>
          <w:sz w:val="22"/>
          <w:szCs w:val="22"/>
          <w:rtl w:val="false"/>
        </w:rPr>
        <w:t xml:space="preserve">Autor 1</w:t>
      </w:r>
      <w:r>
        <w:rPr>
          <w:rFonts w:ascii="Times New Roman" w:hAnsi="Times New Roman" w:cs="Times New Roman" w:eastAsia="Times New Roman"/>
          <w:sz w:val="22"/>
          <w:szCs w:val="22"/>
          <w:rtl w:val="false"/>
        </w:rPr>
        <w:t xml:space="preserve"> e podem ser disponibilizados mediante solicitação razoável. </w:t>
      </w:r>
      <w:r/>
    </w:p>
    <w:p>
      <w:pPr>
        <w:ind w:firstLine="709"/>
        <w:jc w:val="both"/>
        <w:spacing w:after="120"/>
        <w:rPr>
          <w:rFonts w:ascii="Times New Roman" w:hAnsi="Times New Roman" w:cs="Times New Roman" w:eastAsia="Times New Roman"/>
          <w:sz w:val="22"/>
          <w:szCs w:val="22"/>
        </w:rPr>
      </w:pPr>
      <w:r>
        <w:rPr>
          <w:rtl w:val="false"/>
        </w:rPr>
      </w:r>
      <w:r/>
    </w:p>
    <w:p>
      <w:pPr>
        <w:ind w:firstLine="709"/>
        <w:spacing w:after="120"/>
        <w:rPr>
          <w:rFonts w:ascii="Times New Roman" w:hAnsi="Times New Roman" w:cs="Times New Roman" w:eastAsia="Times New Roman"/>
          <w:b/>
          <w:sz w:val="22"/>
          <w:szCs w:val="22"/>
        </w:rPr>
      </w:pPr>
      <w:r>
        <w:rPr>
          <w:rFonts w:ascii="Times New Roman" w:hAnsi="Times New Roman" w:cs="Times New Roman" w:eastAsia="Times New Roman"/>
          <w:b/>
          <w:sz w:val="24"/>
          <w:szCs w:val="22"/>
          <w:rtl w:val="false"/>
        </w:rPr>
        <w:t xml:space="preserve">REFERÊNCIAS</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Ainsworth, S. (2006). DeFT: A conceptual framework for considering learning with multiple representations. </w:t>
      </w:r>
      <w:r>
        <w:rPr>
          <w:rFonts w:ascii="Times New Roman" w:hAnsi="Times New Roman" w:cs="Times New Roman" w:eastAsia="Times New Roman"/>
          <w:i/>
          <w:color w:val="000000"/>
          <w:sz w:val="22"/>
          <w:szCs w:val="22"/>
          <w:rtl w:val="false"/>
        </w:rPr>
        <w:t xml:space="preserve">Learning and instruction</w:t>
      </w:r>
      <w:r>
        <w:rPr>
          <w:rFonts w:ascii="Times New Roman" w:hAnsi="Times New Roman" w:cs="Times New Roman" w:eastAsia="Times New Roman"/>
          <w:color w:val="000000"/>
          <w:sz w:val="22"/>
          <w:szCs w:val="22"/>
          <w:rtl w:val="false"/>
        </w:rPr>
        <w:t xml:space="preserve">, 16(3), 183-198.</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Bogdan, R., &amp; Biklen, S. (1994). </w:t>
      </w:r>
      <w:r>
        <w:rPr>
          <w:rFonts w:ascii="Times New Roman" w:hAnsi="Times New Roman" w:cs="Times New Roman" w:eastAsia="Times New Roman"/>
          <w:i/>
          <w:color w:val="000000"/>
          <w:sz w:val="22"/>
          <w:szCs w:val="22"/>
          <w:rtl w:val="false"/>
        </w:rPr>
        <w:t xml:space="preserve">Investigação qualitativa em educação: uma introdução à teoria e aos métodos.</w:t>
      </w:r>
      <w:r>
        <w:rPr>
          <w:rFonts w:ascii="Times New Roman" w:hAnsi="Times New Roman" w:cs="Times New Roman" w:eastAsia="Times New Roman"/>
          <w:color w:val="000000"/>
          <w:sz w:val="22"/>
          <w:szCs w:val="22"/>
          <w:rtl w:val="false"/>
        </w:rPr>
        <w:t xml:space="preserve"> Porto editora.</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Borba, M. C., &amp; Penteado, M. G. (2019). </w:t>
      </w:r>
      <w:r>
        <w:rPr>
          <w:rFonts w:ascii="Times New Roman" w:hAnsi="Times New Roman" w:cs="Times New Roman" w:eastAsia="Times New Roman"/>
          <w:i/>
          <w:color w:val="000000"/>
          <w:sz w:val="22"/>
          <w:szCs w:val="22"/>
          <w:rtl w:val="false"/>
        </w:rPr>
        <w:t xml:space="preserve">Informática e educação matemática.</w:t>
      </w:r>
      <w:r>
        <w:rPr>
          <w:rFonts w:ascii="Times New Roman" w:hAnsi="Times New Roman" w:cs="Times New Roman" w:eastAsia="Times New Roman"/>
          <w:color w:val="000000"/>
          <w:sz w:val="22"/>
          <w:szCs w:val="22"/>
          <w:rtl w:val="false"/>
        </w:rPr>
        <w:t xml:space="preserve"> Autêntica Editora.</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Borba, M. C., Silva, R. S. R., &amp; Gadanidis, G. (2020). </w:t>
      </w:r>
      <w:r>
        <w:rPr>
          <w:rFonts w:ascii="Times New Roman" w:hAnsi="Times New Roman" w:cs="Times New Roman" w:eastAsia="Times New Roman"/>
          <w:i/>
          <w:color w:val="000000"/>
          <w:sz w:val="22"/>
          <w:szCs w:val="22"/>
          <w:rtl w:val="false"/>
        </w:rPr>
        <w:t xml:space="preserve">Fases das tecnologias digitais em Educação Matemática: sala de aula e internet em movimento.</w:t>
      </w:r>
      <w:r>
        <w:rPr>
          <w:rFonts w:ascii="Times New Roman" w:hAnsi="Times New Roman" w:cs="Times New Roman" w:eastAsia="Times New Roman"/>
          <w:color w:val="000000"/>
          <w:sz w:val="22"/>
          <w:szCs w:val="22"/>
          <w:rtl w:val="false"/>
        </w:rPr>
        <w:t xml:space="preserve"> Autêntica Editora.</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Borges, P. A. P., &amp; Moretti, M. T. (2016). A transformação das relações com o saber matemático de alunos ingressantes na universidade. </w:t>
      </w:r>
      <w:r>
        <w:rPr>
          <w:rFonts w:ascii="Times New Roman" w:hAnsi="Times New Roman" w:cs="Times New Roman" w:eastAsia="Times New Roman"/>
          <w:i/>
          <w:color w:val="000000"/>
          <w:sz w:val="22"/>
          <w:szCs w:val="22"/>
          <w:rtl w:val="false"/>
        </w:rPr>
        <w:t xml:space="preserve">Acta Scientiae,</w:t>
      </w:r>
      <w:r>
        <w:rPr>
          <w:rFonts w:ascii="Times New Roman" w:hAnsi="Times New Roman" w:cs="Times New Roman" w:eastAsia="Times New Roman"/>
          <w:color w:val="000000"/>
          <w:sz w:val="22"/>
          <w:szCs w:val="22"/>
          <w:rtl w:val="false"/>
        </w:rPr>
        <w:t xml:space="preserve"> 18(3), 580-596.</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Borssoi, A. H., Trevisan, A. L., &amp; Elias, H. R. (2017). Percursos de aprendizagem de alunos ao resolverem uma tarefa de Cálculo Diferencial e Integral. </w:t>
      </w:r>
      <w:r>
        <w:rPr>
          <w:rFonts w:ascii="Times New Roman" w:hAnsi="Times New Roman" w:cs="Times New Roman" w:eastAsia="Times New Roman"/>
          <w:i/>
          <w:color w:val="000000"/>
          <w:sz w:val="22"/>
          <w:szCs w:val="22"/>
          <w:rtl w:val="false"/>
        </w:rPr>
        <w:t xml:space="preserve">Vidya</w:t>
      </w:r>
      <w:r>
        <w:rPr>
          <w:rFonts w:ascii="Times New Roman" w:hAnsi="Times New Roman" w:cs="Times New Roman" w:eastAsia="Times New Roman"/>
          <w:color w:val="000000"/>
          <w:sz w:val="22"/>
          <w:szCs w:val="22"/>
          <w:rtl w:val="false"/>
        </w:rPr>
        <w:t xml:space="preserve">, 37(2), 459-477.</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Braga, J. C., Pimentel, E., &amp; Dotta, S. (2013). Metodologia INTERA para o desenvolvimento de Objetos de Aprendizagem. In</w:t>
      </w:r>
      <w:r>
        <w:rPr>
          <w:rFonts w:ascii="Times New Roman" w:hAnsi="Times New Roman" w:cs="Times New Roman" w:eastAsia="Times New Roman"/>
          <w:i/>
          <w:color w:val="000000"/>
          <w:sz w:val="22"/>
          <w:szCs w:val="22"/>
          <w:rtl w:val="false"/>
        </w:rPr>
        <w:t xml:space="preserve"> Brazilian Symposium on Computers in Education (Simpósio Brasileiro de Informática na Educação-SBIE)</w:t>
      </w:r>
      <w:r>
        <w:rPr>
          <w:rFonts w:ascii="Times New Roman" w:hAnsi="Times New Roman" w:cs="Times New Roman" w:eastAsia="Times New Roman"/>
          <w:color w:val="000000"/>
          <w:sz w:val="22"/>
          <w:szCs w:val="22"/>
          <w:rtl w:val="false"/>
        </w:rPr>
        <w:t xml:space="preserve"> 24</w:t>
      </w: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color w:val="000000"/>
          <w:sz w:val="22"/>
          <w:szCs w:val="22"/>
          <w:rtl w:val="false"/>
        </w:rPr>
        <w:t xml:space="preserve">1), 306-315. </w:t>
      </w:r>
      <w:hyperlink r:id="rId14" w:tooltip="http://dx.doi.org/10.5753/cbie.sbie.2013.306" w:history="1">
        <w:r>
          <w:rPr>
            <w:rStyle w:val="879"/>
            <w:rFonts w:ascii="Verdana" w:hAnsi="Verdana" w:cs="Verdana" w:eastAsia="Verdana"/>
            <w:color w:val="006699"/>
            <w:sz w:val="17"/>
            <w:highlight w:val="white"/>
            <w:u w:val="single"/>
          </w:rPr>
          <w:t xml:space="preserve">http://dx.doi.org/10.5753/cbie.sbie.2013.306</w:t>
        </w:r>
      </w:hyperlink>
      <w:r>
        <w:rPr>
          <w:rFonts w:ascii="Times New Roman" w:hAnsi="Times New Roman" w:cs="Times New Roman" w:eastAsia="Times New Roman"/>
          <w:color w:val="000000"/>
          <w:sz w:val="22"/>
          <w:szCs w:val="22"/>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Brocke, J. V., Hevner, A., &amp; Maedche, A. (2020). Introduction to design science research. </w:t>
      </w:r>
      <w:r>
        <w:rPr>
          <w:rFonts w:ascii="Times New Roman" w:hAnsi="Times New Roman" w:cs="Times New Roman" w:eastAsia="Times New Roman"/>
          <w:i/>
          <w:color w:val="000000"/>
          <w:sz w:val="22"/>
          <w:szCs w:val="22"/>
          <w:rtl w:val="false"/>
        </w:rPr>
        <w:t xml:space="preserve">In Design Science Research. Cases</w:t>
      </w:r>
      <w:r>
        <w:rPr>
          <w:rFonts w:ascii="Times New Roman" w:hAnsi="Times New Roman" w:cs="Times New Roman" w:eastAsia="Times New Roman"/>
          <w:color w:val="000000"/>
          <w:sz w:val="22"/>
          <w:szCs w:val="22"/>
          <w:rtl w:val="false"/>
        </w:rPr>
        <w:t xml:space="preserve">. Springer, Cham, </w:t>
      </w:r>
      <w:r>
        <w:rPr>
          <w:rFonts w:ascii="Times New Roman" w:hAnsi="Times New Roman" w:cs="Times New Roman" w:eastAsia="Times New Roman"/>
          <w:sz w:val="22"/>
          <w:szCs w:val="22"/>
          <w:rtl w:val="false"/>
        </w:rPr>
        <w:t xml:space="preserve">1-13</w:t>
      </w:r>
      <w:r>
        <w:rPr>
          <w:rFonts w:ascii="Times New Roman" w:hAnsi="Times New Roman" w:cs="Times New Roman" w:eastAsia="Times New Roman"/>
          <w:color w:val="000000"/>
          <w:sz w:val="22"/>
          <w:szCs w:val="22"/>
          <w:rtl w:val="false"/>
        </w:rPr>
        <w:t xml:space="preserve">.</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Carlson, M. P., Madison, B., &amp; West, R. D. (2015). A study of students’ readiness to learn calculus. </w:t>
      </w:r>
      <w:r>
        <w:rPr>
          <w:rFonts w:ascii="Times New Roman" w:hAnsi="Times New Roman" w:cs="Times New Roman" w:eastAsia="Times New Roman"/>
          <w:i/>
          <w:color w:val="000000"/>
          <w:sz w:val="22"/>
          <w:szCs w:val="22"/>
          <w:rtl w:val="false"/>
        </w:rPr>
        <w:t xml:space="preserve">International Journal of Research in Undergraduate Mathematics Education,</w:t>
      </w:r>
      <w:r>
        <w:rPr>
          <w:rFonts w:ascii="Times New Roman" w:hAnsi="Times New Roman" w:cs="Times New Roman" w:eastAsia="Times New Roman"/>
          <w:color w:val="000000"/>
          <w:sz w:val="22"/>
          <w:szCs w:val="22"/>
          <w:rtl w:val="false"/>
        </w:rPr>
        <w:t xml:space="preserve"> 1(2), 209-233.</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Carlson, M., Oehrtman, M., &amp; Engelke, N. (2010). The precalculus concept assessment: A tool for assessing students’ reasoning abilities and understandings. </w:t>
      </w:r>
      <w:r>
        <w:rPr>
          <w:rFonts w:ascii="Times New Roman" w:hAnsi="Times New Roman" w:cs="Times New Roman" w:eastAsia="Times New Roman"/>
          <w:i/>
          <w:color w:val="000000"/>
          <w:sz w:val="22"/>
          <w:szCs w:val="22"/>
          <w:rtl w:val="false"/>
        </w:rPr>
        <w:t xml:space="preserve">Cognition and Instruction,</w:t>
      </w:r>
      <w:r>
        <w:rPr>
          <w:rFonts w:ascii="Times New Roman" w:hAnsi="Times New Roman" w:cs="Times New Roman" w:eastAsia="Times New Roman"/>
          <w:color w:val="000000"/>
          <w:sz w:val="22"/>
          <w:szCs w:val="22"/>
          <w:rtl w:val="false"/>
        </w:rPr>
        <w:t xml:space="preserve"> 28(2), 113-145.</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Casiraghi, B., Boruchovitch, E., &amp; Almeida, L.S. (2020). Crenças de autoeficácia, estratégias de aprendizagem e o sucesso acadêmico no Ensino Superior. </w:t>
      </w:r>
      <w:r>
        <w:rPr>
          <w:rFonts w:ascii="Times New Roman" w:hAnsi="Times New Roman" w:cs="Times New Roman" w:eastAsia="Times New Roman"/>
          <w:i/>
          <w:color w:val="000000"/>
          <w:sz w:val="22"/>
          <w:szCs w:val="22"/>
          <w:rtl w:val="false"/>
        </w:rPr>
        <w:t xml:space="preserve">Revista E-Psi</w:t>
      </w:r>
      <w:r>
        <w:rPr>
          <w:rFonts w:ascii="Times New Roman" w:hAnsi="Times New Roman" w:cs="Times New Roman" w:eastAsia="Times New Roman"/>
          <w:color w:val="000000"/>
          <w:sz w:val="22"/>
          <w:szCs w:val="22"/>
          <w:rtl w:val="false"/>
        </w:rPr>
        <w:t xml:space="preserve">, 9(1), 27-38.</w:t>
      </w:r>
      <w:r/>
    </w:p>
    <w:p>
      <w:pPr>
        <w:ind w:left="709" w:hanging="709"/>
        <w:spacing w:before="280" w:after="120"/>
        <w:rPr>
          <w:rFonts w:ascii="Times New Roman" w:hAnsi="Times New Roman" w:cs="Times New Roman" w:eastAsia="Times New Roman"/>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highlight w:val="none"/>
          <w:rtl w:val="false"/>
        </w:rPr>
        <w:t xml:space="preserve">Autor (2021a).</w:t>
      </w:r>
      <w:r>
        <w:rPr>
          <w:rFonts w:ascii="Times New Roman" w:hAnsi="Times New Roman" w:cs="Times New Roman" w:eastAsia="Times New Roman"/>
          <w:color w:val="000000"/>
          <w:sz w:val="22"/>
          <w:szCs w:val="22"/>
          <w:highlight w:val="none"/>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highlight w:val="none"/>
          <w:rtl w:val="false"/>
        </w:rPr>
        <w:t xml:space="preserve">Autor (2021b)</w:t>
      </w:r>
      <w:r>
        <w:rPr>
          <w:rFonts w:ascii="Times New Roman" w:hAnsi="Times New Roman" w:cs="Times New Roman" w:eastAsia="Times New Roman"/>
          <w:color w:val="000000"/>
          <w:sz w:val="22"/>
          <w:szCs w:val="22"/>
          <w:highlight w:val="none"/>
          <w:rtl w:val="false"/>
        </w:rPr>
      </w:r>
      <w:r/>
    </w:p>
    <w:p>
      <w:pPr>
        <w:ind w:left="709" w:hanging="709"/>
        <w:spacing w:before="280" w:after="120"/>
        <w:rPr>
          <w:rFonts w:ascii="Times New Roman" w:hAnsi="Times New Roman" w:cs="Times New Roman" w:eastAsia="Times New Roman"/>
          <w:color w:val="000000"/>
          <w:sz w:val="22"/>
          <w:szCs w:val="22"/>
          <w:highlight w:val="none"/>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Christo, M. M. S., de Resende, L. M. M., &amp; Kuhn, T. D. C. G. (2018). Por que os alunos de engenharia desistem de seus cursos–um estudo de caso. </w:t>
      </w:r>
      <w:r>
        <w:rPr>
          <w:rFonts w:ascii="Times New Roman" w:hAnsi="Times New Roman" w:cs="Times New Roman" w:eastAsia="Times New Roman"/>
          <w:i/>
          <w:color w:val="000000"/>
          <w:sz w:val="22"/>
          <w:szCs w:val="22"/>
          <w:rtl w:val="false"/>
        </w:rPr>
        <w:t xml:space="preserve">Nuances: estudos sobre Educação</w:t>
      </w:r>
      <w:r>
        <w:rPr>
          <w:rFonts w:ascii="Times New Roman" w:hAnsi="Times New Roman" w:cs="Times New Roman" w:eastAsia="Times New Roman"/>
          <w:color w:val="000000"/>
          <w:sz w:val="22"/>
          <w:szCs w:val="22"/>
          <w:rtl w:val="false"/>
        </w:rPr>
        <w:t xml:space="preserve">, 29(1).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Cordeiro, E., Sato, G., Pinheiro, N., Silva, S. (2021).O uso de feedbacks em jogos educacionais digitais para o ensino de operações básicas de matemática: um estudo exploratório.</w:t>
      </w:r>
      <w:r>
        <w:rPr>
          <w:rFonts w:ascii="Times New Roman" w:hAnsi="Times New Roman" w:cs="Times New Roman" w:eastAsia="Times New Roman"/>
          <w:i/>
          <w:color w:val="000000"/>
          <w:sz w:val="22"/>
          <w:szCs w:val="22"/>
          <w:rtl w:val="false"/>
        </w:rPr>
        <w:t xml:space="preserve"> Em Teia | Revista de Educação Matemática e Tecnológica Iberoamericana.</w:t>
      </w:r>
      <w:r>
        <w:rPr>
          <w:rFonts w:ascii="Times New Roman" w:hAnsi="Times New Roman" w:cs="Times New Roman" w:eastAsia="Times New Roman"/>
          <w:color w:val="000000"/>
          <w:sz w:val="22"/>
          <w:szCs w:val="22"/>
          <w:rtl w:val="false"/>
        </w:rPr>
        <w:t xml:space="preserve"> 12(.1),.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Costa, E. D. B., Rocha, H. J. B., Omen</w:t>
      </w:r>
      <w:r>
        <w:rPr>
          <w:rFonts w:ascii="Times New Roman" w:hAnsi="Times New Roman" w:cs="Times New Roman" w:eastAsia="Times New Roman"/>
          <w:color w:val="000000"/>
          <w:sz w:val="22"/>
          <w:szCs w:val="22"/>
          <w:rtl w:val="false"/>
        </w:rPr>
        <w:t xml:space="preserve">a, R. A. L. V. D., Júnior, M. A. C. P., Alves, H. F., Neto, M. J. F., &amp; Toledo, A. (2016). An approach that support multiple linked representations within an intelligent tutoring system for helping students to develop skills on designing digital circuits. </w:t>
      </w:r>
      <w:r>
        <w:rPr>
          <w:rFonts w:ascii="Times New Roman" w:hAnsi="Times New Roman" w:cs="Times New Roman" w:eastAsia="Times New Roman"/>
          <w:i/>
          <w:color w:val="000000"/>
          <w:sz w:val="22"/>
          <w:szCs w:val="22"/>
          <w:rtl w:val="false"/>
        </w:rPr>
        <w:t xml:space="preserve">In New Advances in Information Systems and Technologies</w:t>
      </w:r>
      <w:r>
        <w:rPr>
          <w:rFonts w:ascii="Times New Roman" w:hAnsi="Times New Roman" w:cs="Times New Roman" w:eastAsia="Times New Roman"/>
          <w:color w:val="000000"/>
          <w:sz w:val="22"/>
          <w:szCs w:val="22"/>
          <w:rtl w:val="false"/>
        </w:rPr>
        <w:t xml:space="preserve">. Springer, Cham, </w:t>
      </w:r>
      <w:r>
        <w:rPr>
          <w:rFonts w:ascii="Times New Roman" w:hAnsi="Times New Roman" w:cs="Times New Roman" w:eastAsia="Times New Roman"/>
          <w:sz w:val="22"/>
          <w:szCs w:val="22"/>
          <w:rtl w:val="false"/>
        </w:rPr>
        <w:t xml:space="preserve">255-264</w:t>
      </w:r>
      <w:r>
        <w:rPr>
          <w:rFonts w:ascii="Times New Roman" w:hAnsi="Times New Roman" w:cs="Times New Roman" w:eastAsia="Times New Roman"/>
          <w:color w:val="000000"/>
          <w:sz w:val="22"/>
          <w:szCs w:val="22"/>
          <w:rtl w:val="false"/>
        </w:rPr>
        <w:t xml:space="preserve">. </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Cuevas-Vallejo, C. A., Pineda, M. D., &amp; Reyes, M. M. (2018). Una propuesta para introducir el pensamiento funcional y concepto de función real, antes de un curso de cálculo diferencial. </w:t>
      </w:r>
      <w:r>
        <w:rPr>
          <w:rFonts w:ascii="Times New Roman" w:hAnsi="Times New Roman" w:cs="Times New Roman" w:eastAsia="Times New Roman"/>
          <w:i/>
          <w:color w:val="000000"/>
          <w:sz w:val="22"/>
          <w:szCs w:val="22"/>
          <w:rtl w:val="false"/>
        </w:rPr>
        <w:t xml:space="preserve">Revista Logos, Ciencia &amp; Tecnología,</w:t>
      </w:r>
      <w:r>
        <w:rPr>
          <w:rFonts w:ascii="Times New Roman" w:hAnsi="Times New Roman" w:cs="Times New Roman" w:eastAsia="Times New Roman"/>
          <w:color w:val="000000"/>
          <w:sz w:val="22"/>
          <w:szCs w:val="22"/>
          <w:rtl w:val="false"/>
        </w:rPr>
        <w:t xml:space="preserve"> 10(2), 20-38.</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Cunha, S. M., &amp; Carrilho, D. M. (2005). O processo de adaptação ao ensino superior e o rendimento acadêmico. </w:t>
      </w:r>
      <w:r>
        <w:rPr>
          <w:rFonts w:ascii="Times New Roman" w:hAnsi="Times New Roman" w:cs="Times New Roman" w:eastAsia="Times New Roman"/>
          <w:i/>
          <w:color w:val="000000"/>
          <w:sz w:val="22"/>
          <w:szCs w:val="22"/>
          <w:rtl w:val="false"/>
        </w:rPr>
        <w:t xml:space="preserve">Psicologia escolar e educacional,</w:t>
      </w:r>
      <w:r>
        <w:rPr>
          <w:rFonts w:ascii="Times New Roman" w:hAnsi="Times New Roman" w:cs="Times New Roman" w:eastAsia="Times New Roman"/>
          <w:color w:val="000000"/>
          <w:sz w:val="22"/>
          <w:szCs w:val="22"/>
          <w:rtl w:val="false"/>
        </w:rPr>
        <w:t xml:space="preserve"> 9, 215-224.</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Dresch, A., Lacerda, D. P., &amp; Júnior, J. A. V. A. (2015). </w:t>
      </w:r>
      <w:r>
        <w:rPr>
          <w:rFonts w:ascii="Times New Roman" w:hAnsi="Times New Roman" w:cs="Times New Roman" w:eastAsia="Times New Roman"/>
          <w:i/>
          <w:color w:val="000000"/>
          <w:sz w:val="22"/>
          <w:szCs w:val="22"/>
          <w:rtl w:val="false"/>
        </w:rPr>
        <w:t xml:space="preserve">Design science research: método de pesquisa para avanço da ciência e tecnologia.</w:t>
      </w:r>
      <w:r>
        <w:rPr>
          <w:rFonts w:ascii="Times New Roman" w:hAnsi="Times New Roman" w:cs="Times New Roman" w:eastAsia="Times New Roman"/>
          <w:color w:val="000000"/>
          <w:sz w:val="22"/>
          <w:szCs w:val="22"/>
          <w:rtl w:val="false"/>
        </w:rPr>
        <w:t xml:space="preserve"> Bookman Editora.</w:t>
      </w:r>
      <w:r/>
    </w:p>
    <w:p>
      <w:pPr>
        <w:ind w:left="709" w:hanging="709"/>
        <w:spacing w:before="280" w:after="120"/>
        <w:rPr>
          <w:rFonts w:ascii="Times New Roman" w:hAnsi="Times New Roman" w:cs="Times New Roman" w:eastAsia="Times New Roman"/>
          <w:i/>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Faria, R. W. S. D. C., Romanello, L. A., &amp; Domingues, N. S. (2018).</w:t>
      </w:r>
      <w:r>
        <w:rPr>
          <w:rFonts w:ascii="Times New Roman" w:hAnsi="Times New Roman" w:cs="Times New Roman" w:eastAsia="Times New Roman"/>
          <w:i/>
          <w:color w:val="000000"/>
          <w:sz w:val="22"/>
          <w:szCs w:val="22"/>
          <w:rtl w:val="false"/>
        </w:rPr>
        <w:t xml:space="preserve"> Phases of digital technologies in the mathematical exploitation in a classroom: from graphic calculators to intelligent cellulars.</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Feitosa, D. L. S., Teixeira, E. G. S., Silva, L. S., Oliveira, M. L. S., &amp; Braga, R. M. (2020) O estudante e o ensino de cálculo diferencial e integral. </w:t>
      </w:r>
      <w:r>
        <w:rPr>
          <w:rFonts w:ascii="Times New Roman" w:hAnsi="Times New Roman" w:cs="Times New Roman" w:eastAsia="Times New Roman"/>
          <w:i/>
          <w:color w:val="000000"/>
          <w:sz w:val="22"/>
          <w:szCs w:val="22"/>
          <w:rtl w:val="false"/>
        </w:rPr>
        <w:t xml:space="preserve">Série Educar-Volume 25 Matemática,</w:t>
      </w:r>
      <w:r>
        <w:rPr>
          <w:rFonts w:ascii="Times New Roman" w:hAnsi="Times New Roman" w:cs="Times New Roman" w:eastAsia="Times New Roman"/>
          <w:color w:val="000000"/>
          <w:sz w:val="22"/>
          <w:szCs w:val="22"/>
          <w:rtl w:val="false"/>
        </w:rPr>
        <w:t xml:space="preserve"> 6-14.</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Ferreira, L., &amp; Pimentel, A. (2016, November). ARPREM: Autoria de Regras de Produção Para Remediação de Erros Com Múltiplas Representações Externas. </w:t>
      </w:r>
      <w:r>
        <w:rPr>
          <w:rFonts w:ascii="Times New Roman" w:hAnsi="Times New Roman" w:cs="Times New Roman" w:eastAsia="Times New Roman"/>
          <w:i/>
          <w:color w:val="000000"/>
          <w:sz w:val="22"/>
          <w:szCs w:val="22"/>
          <w:rtl w:val="false"/>
        </w:rPr>
        <w:t xml:space="preserve">In Brazilian Symposium on Computers in Education (Simpósio Brasileiro de Informática na Educação-SBIE),</w:t>
      </w:r>
      <w:r>
        <w:rPr>
          <w:rFonts w:ascii="Times New Roman" w:hAnsi="Times New Roman" w:cs="Times New Roman" w:eastAsia="Times New Roman"/>
          <w:color w:val="000000"/>
          <w:sz w:val="22"/>
          <w:szCs w:val="22"/>
          <w:rtl w:val="false"/>
        </w:rPr>
        <w:t xml:space="preserve"> 27</w:t>
      </w:r>
      <w:r>
        <w:rPr>
          <w:rFonts w:ascii="Times New Roman" w:hAnsi="Times New Roman" w:cs="Times New Roman" w:eastAsia="Times New Roman"/>
          <w:sz w:val="22"/>
          <w:szCs w:val="22"/>
          <w:rtl w:val="false"/>
        </w:rPr>
        <w:t xml:space="preserve">(</w:t>
      </w:r>
      <w:r>
        <w:rPr>
          <w:rFonts w:ascii="Times New Roman" w:hAnsi="Times New Roman" w:cs="Times New Roman" w:eastAsia="Times New Roman"/>
          <w:color w:val="000000"/>
          <w:sz w:val="22"/>
          <w:szCs w:val="22"/>
          <w:rtl w:val="false"/>
        </w:rPr>
        <w:t xml:space="preserve">1),  946</w:t>
      </w:r>
      <w:r>
        <w:rPr>
          <w:rFonts w:ascii="Times New Roman" w:hAnsi="Times New Roman" w:cs="Times New Roman" w:eastAsia="Times New Roman"/>
          <w:sz w:val="22"/>
          <w:szCs w:val="22"/>
          <w:rtl w:val="false"/>
        </w:rPr>
        <w:t xml:space="preserve">-955</w:t>
      </w:r>
      <w:r>
        <w:rPr>
          <w:rFonts w:ascii="Times New Roman" w:hAnsi="Times New Roman" w:cs="Times New Roman" w:eastAsia="Times New Roman"/>
          <w:color w:val="000000"/>
          <w:sz w:val="22"/>
          <w:szCs w:val="22"/>
          <w:rtl w:val="false"/>
        </w:rPr>
        <w:t xml:space="preserve">. </w:t>
      </w:r>
      <w:r>
        <w:rPr>
          <w:rFonts w:ascii="Times New Roman" w:hAnsi="Times New Roman" w:cs="Times New Roman" w:eastAsia="Times New Roman"/>
          <w:color w:val="000000"/>
          <w:sz w:val="22"/>
          <w:szCs w:val="22"/>
          <w:rtl w:val="false"/>
        </w:rPr>
      </w:r>
      <w:hyperlink r:id="rId15" w:tooltip="http://dx.doi.org/10.5753/cbie.sbie.2016.94" w:history="1">
        <w:r>
          <w:rPr>
            <w:rStyle w:val="879"/>
            <w:rFonts w:ascii="Times New Roman" w:hAnsi="Times New Roman" w:cs="Times New Roman" w:eastAsia="Times New Roman"/>
            <w:sz w:val="22"/>
            <w:szCs w:val="22"/>
            <w:rtl w:val="false"/>
          </w:rPr>
          <w:t xml:space="preserve">http://dx.doi.org/10.5753/cbie.sbie.2016.94</w:t>
        </w:r>
      </w:hyperlink>
      <w:r>
        <w:rPr>
          <w:rFonts w:ascii="Times New Roman" w:hAnsi="Times New Roman" w:cs="Times New Roman" w:eastAsia="Times New Roman"/>
          <w:color w:val="000000"/>
          <w:sz w:val="22"/>
          <w:szCs w:val="22"/>
          <w:rtl w:val="false"/>
        </w:rPr>
        <w:t xml:space="preserve"> </w:t>
      </w:r>
      <w:r>
        <w:rPr>
          <w:rFonts w:ascii="Times New Roman" w:hAnsi="Times New Roman" w:cs="Times New Roman" w:eastAsia="Times New Roman"/>
          <w:color w:val="000000"/>
          <w:sz w:val="22"/>
          <w:szCs w:val="22"/>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Godoy, E. V., &amp; Gerab, F. (2018). Transição ensino médio-ensino de engenharia na perspectiva do professor de matemática. </w:t>
      </w:r>
      <w:r>
        <w:rPr>
          <w:rFonts w:ascii="Times New Roman" w:hAnsi="Times New Roman" w:cs="Times New Roman" w:eastAsia="Times New Roman"/>
          <w:i/>
          <w:color w:val="000000"/>
          <w:sz w:val="22"/>
          <w:szCs w:val="22"/>
          <w:rtl w:val="false"/>
        </w:rPr>
        <w:t xml:space="preserve">Alexandria: Revista de Educação em Ciência e Tecnologia,</w:t>
      </w:r>
      <w:r>
        <w:rPr>
          <w:rFonts w:ascii="Times New Roman" w:hAnsi="Times New Roman" w:cs="Times New Roman" w:eastAsia="Times New Roman"/>
          <w:color w:val="000000"/>
          <w:sz w:val="22"/>
          <w:szCs w:val="22"/>
          <w:rtl w:val="false"/>
        </w:rPr>
        <w:t xml:space="preserve"> 11(2), 361-385.</w:t>
      </w:r>
      <w:r/>
    </w:p>
    <w:p>
      <w:pPr>
        <w:ind w:left="709" w:hanging="709"/>
        <w:spacing w:before="280" w:after="120"/>
        <w:rPr>
          <w:rFonts w:ascii="Times New Roman" w:hAnsi="Times New Roman" w:cs="Times New Roman" w:eastAsia="Times New Roman"/>
          <w:i/>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Gomez, M. F., Remor, C. R., de Marco, M. T., &amp; Farinon Betzek, S. B. (2015). </w:t>
      </w:r>
      <w:r>
        <w:rPr>
          <w:rFonts w:ascii="Times New Roman" w:hAnsi="Times New Roman" w:cs="Times New Roman" w:eastAsia="Times New Roman"/>
          <w:i/>
          <w:color w:val="000000"/>
          <w:sz w:val="22"/>
          <w:szCs w:val="22"/>
          <w:rtl w:val="false"/>
        </w:rPr>
        <w:t xml:space="preserve">Evasão na engenharia: o caso dos cursos da UTFPR Câmpus Medianeira tendo como acesso o SISU.</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Hadwin, A., &amp; Oshige, M. (2011). Self-regulation, coregulation, and socially shared regulation: Exploring perspectives of social in self-regulated learning theory. </w:t>
      </w:r>
      <w:r>
        <w:rPr>
          <w:rFonts w:ascii="Times New Roman" w:hAnsi="Times New Roman" w:cs="Times New Roman" w:eastAsia="Times New Roman"/>
          <w:i/>
          <w:color w:val="000000"/>
          <w:sz w:val="22"/>
          <w:szCs w:val="22"/>
          <w:rtl w:val="false"/>
        </w:rPr>
        <w:t xml:space="preserve">Teachers College Record,</w:t>
      </w:r>
      <w:r>
        <w:rPr>
          <w:rFonts w:ascii="Times New Roman" w:hAnsi="Times New Roman" w:cs="Times New Roman" w:eastAsia="Times New Roman"/>
          <w:color w:val="000000"/>
          <w:sz w:val="22"/>
          <w:szCs w:val="22"/>
          <w:rtl w:val="false"/>
        </w:rPr>
        <w:t xml:space="preserve"> 113(2), 240-264.</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Hevner, A. R., March, S. T., Park, J., &amp; Ram, S. (2004). Design science in information systems research.</w:t>
      </w:r>
      <w:r>
        <w:rPr>
          <w:rFonts w:ascii="Times New Roman" w:hAnsi="Times New Roman" w:cs="Times New Roman" w:eastAsia="Times New Roman"/>
          <w:i/>
          <w:color w:val="000000"/>
          <w:sz w:val="22"/>
          <w:szCs w:val="22"/>
          <w:rtl w:val="false"/>
        </w:rPr>
        <w:t xml:space="preserve"> MIS quarterly</w:t>
      </w:r>
      <w:r>
        <w:rPr>
          <w:rFonts w:ascii="Times New Roman" w:hAnsi="Times New Roman" w:cs="Times New Roman" w:eastAsia="Times New Roman"/>
          <w:color w:val="000000"/>
          <w:sz w:val="22"/>
          <w:szCs w:val="22"/>
          <w:rtl w:val="false"/>
        </w:rPr>
        <w:t xml:space="preserve">, 75-105.</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Kutzke, A. R., &amp; Direne, A. (2018). Em Direção à Mediação do Erro por Meio de Um Arcabouço de Sistema Computacional. </w:t>
      </w:r>
      <w:r>
        <w:rPr>
          <w:rFonts w:ascii="Times New Roman" w:hAnsi="Times New Roman" w:cs="Times New Roman" w:eastAsia="Times New Roman"/>
          <w:i/>
          <w:color w:val="000000"/>
          <w:sz w:val="22"/>
          <w:szCs w:val="22"/>
          <w:rtl w:val="false"/>
        </w:rPr>
        <w:t xml:space="preserve">Revista Brasileira de Informática na Educação,</w:t>
      </w:r>
      <w:r>
        <w:rPr>
          <w:rFonts w:ascii="Times New Roman" w:hAnsi="Times New Roman" w:cs="Times New Roman" w:eastAsia="Times New Roman"/>
          <w:color w:val="000000"/>
          <w:sz w:val="22"/>
          <w:szCs w:val="22"/>
          <w:rtl w:val="false"/>
        </w:rPr>
        <w:t xml:space="preserve"> 26(03), 139.</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Homa, A.I. R. (2020). As Dificuldades em Álgebra dos Estudantes de Engenharia: Um Experimento com Avaliação Diagnóstica Auxiliada por Computador. </w:t>
      </w:r>
      <w:r>
        <w:rPr>
          <w:rFonts w:ascii="Times New Roman" w:hAnsi="Times New Roman" w:cs="Times New Roman" w:eastAsia="Times New Roman"/>
          <w:i/>
          <w:color w:val="000000"/>
          <w:sz w:val="22"/>
          <w:szCs w:val="22"/>
          <w:rtl w:val="false"/>
        </w:rPr>
        <w:t xml:space="preserve">Acta Scientiae</w:t>
      </w:r>
      <w:r>
        <w:rPr>
          <w:rFonts w:ascii="Times New Roman" w:hAnsi="Times New Roman" w:cs="Times New Roman" w:eastAsia="Times New Roman"/>
          <w:color w:val="000000"/>
          <w:sz w:val="22"/>
          <w:szCs w:val="22"/>
          <w:rtl w:val="false"/>
        </w:rPr>
        <w:t xml:space="preserve">, 22(5), 254-272.</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Lacerda, D. P., Dresch, A., Proença, A., &amp; Antunes Júnior, J. A. V. (2013). Design Science Research: método de pesquisa para a engenharia de produção. </w:t>
      </w:r>
      <w:r>
        <w:rPr>
          <w:rFonts w:ascii="Times New Roman" w:hAnsi="Times New Roman" w:cs="Times New Roman" w:eastAsia="Times New Roman"/>
          <w:i/>
          <w:color w:val="000000"/>
          <w:sz w:val="22"/>
          <w:szCs w:val="22"/>
          <w:rtl w:val="false"/>
        </w:rPr>
        <w:t xml:space="preserve">Gestão &amp; produção</w:t>
      </w:r>
      <w:r>
        <w:rPr>
          <w:rFonts w:ascii="Times New Roman" w:hAnsi="Times New Roman" w:cs="Times New Roman" w:eastAsia="Times New Roman"/>
          <w:color w:val="000000"/>
          <w:sz w:val="22"/>
          <w:szCs w:val="22"/>
          <w:rtl w:val="false"/>
        </w:rPr>
        <w:t xml:space="preserve">, 20(4), 741-761.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Leite, M. D., Marczal, D., &amp; Pimentel, A. R. (2013, July). Objeto de Aprendizagem Pitágoras: uma aplicação do uso de múltiplas de representações externas na remediação de erros matemáticos. </w:t>
      </w:r>
      <w:r>
        <w:rPr>
          <w:rFonts w:ascii="Times New Roman" w:hAnsi="Times New Roman" w:cs="Times New Roman" w:eastAsia="Times New Roman"/>
          <w:i/>
          <w:color w:val="000000"/>
          <w:sz w:val="22"/>
          <w:szCs w:val="22"/>
          <w:rtl w:val="false"/>
        </w:rPr>
        <w:t xml:space="preserve">In Anais do II Workshop de Desafios da Computação aplicada à Educação,</w:t>
      </w:r>
      <w:r>
        <w:rPr>
          <w:rFonts w:ascii="Times New Roman" w:hAnsi="Times New Roman" w:cs="Times New Roman" w:eastAsia="Times New Roman"/>
          <w:color w:val="000000"/>
          <w:sz w:val="22"/>
          <w:szCs w:val="22"/>
          <w:rtl w:val="false"/>
        </w:rPr>
        <w:t xml:space="preserve"> SBC</w:t>
      </w:r>
      <w:r>
        <w:rPr>
          <w:rFonts w:ascii="Times New Roman" w:hAnsi="Times New Roman" w:cs="Times New Roman" w:eastAsia="Times New Roman"/>
          <w:sz w:val="22"/>
          <w:szCs w:val="22"/>
          <w:rtl w:val="false"/>
        </w:rPr>
        <w:t xml:space="preserve">, 1434-1442.</w:t>
      </w:r>
      <w:r>
        <w:rPr>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r>
      <w:r>
        <w:rPr>
          <w:rFonts w:ascii="Times New Roman" w:hAnsi="Times New Roman" w:cs="Times New Roman" w:eastAsia="Times New Roman"/>
          <w:sz w:val="22"/>
          <w:szCs w:val="22"/>
          <w:rtl w:val="false"/>
        </w:rPr>
        <w:t xml:space="preserve">Autor (2015)</w:t>
      </w:r>
      <w:r>
        <w:rPr>
          <w:rFonts w:ascii="Times New Roman" w:hAnsi="Times New Roman" w:cs="Times New Roman" w:eastAsia="Times New Roman"/>
          <w:color w:val="000000"/>
          <w:sz w:val="22"/>
          <w:szCs w:val="22"/>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r>
      <w:r>
        <w:rPr>
          <w:rFonts w:ascii="Times New Roman" w:hAnsi="Times New Roman" w:cs="Times New Roman" w:eastAsia="Times New Roman"/>
          <w:sz w:val="22"/>
          <w:szCs w:val="22"/>
          <w:rtl w:val="false"/>
        </w:rPr>
        <w:t xml:space="preserve">Autor (2014)</w:t>
      </w:r>
      <w:r>
        <w:rPr>
          <w:rFonts w:ascii="Times New Roman" w:hAnsi="Times New Roman" w:cs="Times New Roman" w:eastAsia="Times New Roman"/>
          <w:color w:val="000000"/>
          <w:sz w:val="22"/>
          <w:szCs w:val="22"/>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Melo, J. N. B., de Lima, J. V., &amp; Canto Filho, A. B. (2018). Feedback imediato em ambientes informatizados através de vídeos na disciplina de matemática. </w:t>
      </w:r>
      <w:r>
        <w:rPr>
          <w:rFonts w:ascii="Times New Roman" w:hAnsi="Times New Roman" w:cs="Times New Roman" w:eastAsia="Times New Roman"/>
          <w:i/>
          <w:color w:val="000000"/>
          <w:sz w:val="22"/>
          <w:szCs w:val="22"/>
          <w:rtl w:val="false"/>
        </w:rPr>
        <w:t xml:space="preserve">Informática na educação: teoria &amp; prática</w:t>
      </w:r>
      <w:r>
        <w:rPr>
          <w:rFonts w:ascii="Times New Roman" w:hAnsi="Times New Roman" w:cs="Times New Roman" w:eastAsia="Times New Roman"/>
          <w:color w:val="000000"/>
          <w:sz w:val="22"/>
          <w:szCs w:val="22"/>
          <w:rtl w:val="false"/>
        </w:rPr>
        <w:t xml:space="preserve">, 21(2</w:t>
      </w:r>
      <w:r>
        <w:rPr>
          <w:rFonts w:ascii="Times New Roman" w:hAnsi="Times New Roman" w:cs="Times New Roman" w:eastAsia="Times New Roman"/>
          <w:sz w:val="22"/>
          <w:szCs w:val="22"/>
          <w:rtl w:val="false"/>
        </w:rPr>
        <w:t xml:space="preserve">) (</w:t>
      </w:r>
      <w:r>
        <w:rPr>
          <w:rFonts w:ascii="Times New Roman" w:hAnsi="Times New Roman" w:cs="Times New Roman" w:eastAsia="Times New Roman"/>
          <w:color w:val="000000"/>
          <w:sz w:val="22"/>
          <w:szCs w:val="22"/>
          <w:rtl w:val="false"/>
        </w:rPr>
        <w:t xml:space="preserve">Mai/Ago).</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Mendes, M. T., Trevisan, A. L., &amp; Elias, H. R. (2018). A utilização de TDIC em tarefas de avaliação: uma possibilidade para o ensino de Cálculo Diferencial e Integral. </w:t>
      </w:r>
      <w:r>
        <w:rPr>
          <w:rFonts w:ascii="Times New Roman" w:hAnsi="Times New Roman" w:cs="Times New Roman" w:eastAsia="Times New Roman"/>
          <w:i/>
          <w:color w:val="000000"/>
          <w:sz w:val="22"/>
          <w:szCs w:val="22"/>
          <w:rtl w:val="false"/>
        </w:rPr>
        <w:t xml:space="preserve">Debates em educação,</w:t>
      </w:r>
      <w:r>
        <w:rPr>
          <w:rFonts w:ascii="Times New Roman" w:hAnsi="Times New Roman" w:cs="Times New Roman" w:eastAsia="Times New Roman"/>
          <w:color w:val="000000"/>
          <w:sz w:val="22"/>
          <w:szCs w:val="22"/>
          <w:rtl w:val="false"/>
        </w:rPr>
        <w:t xml:space="preserve"> 10(22), 140-163.</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Mendes, M. T. (2014) </w:t>
      </w:r>
      <w:r>
        <w:rPr>
          <w:rFonts w:ascii="Times New Roman" w:hAnsi="Times New Roman" w:cs="Times New Roman" w:eastAsia="Times New Roman"/>
          <w:i/>
          <w:color w:val="000000"/>
          <w:sz w:val="22"/>
          <w:szCs w:val="22"/>
          <w:rtl w:val="false"/>
        </w:rPr>
        <w:t xml:space="preserve">Utilização da Prova em fases como recurso para aprendizagem em aulas de Cálculo</w:t>
      </w:r>
      <w:r>
        <w:rPr>
          <w:rFonts w:ascii="Times New Roman" w:hAnsi="Times New Roman" w:cs="Times New Roman" w:eastAsia="Times New Roman"/>
          <w:color w:val="000000"/>
          <w:sz w:val="22"/>
          <w:szCs w:val="22"/>
          <w:rtl w:val="false"/>
        </w:rPr>
        <w:t xml:space="preserve">. 277f. Tese (Doutorado em Ensino de Ciências e Educação Matemática) – Universidade Estadual de Londrina, Londrina.</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Menestrina, T. C., </w:t>
      </w:r>
      <w:r>
        <w:rPr>
          <w:rFonts w:ascii="Times New Roman" w:hAnsi="Times New Roman" w:cs="Times New Roman" w:eastAsia="Times New Roman"/>
          <w:sz w:val="22"/>
          <w:szCs w:val="22"/>
          <w:rtl w:val="false"/>
        </w:rPr>
        <w:t xml:space="preserve">&amp; Moraes, A. F.</w:t>
      </w:r>
      <w:r>
        <w:rPr>
          <w:rFonts w:ascii="Times New Roman" w:hAnsi="Times New Roman" w:cs="Times New Roman" w:eastAsia="Times New Roman"/>
          <w:color w:val="000000"/>
          <w:sz w:val="22"/>
          <w:szCs w:val="22"/>
          <w:rtl w:val="false"/>
        </w:rPr>
        <w:t xml:space="preserve"> (2012). Alternativas para uma aprendizagem significativa em engenharia: curso de matemática básica. </w:t>
      </w:r>
      <w:r>
        <w:rPr>
          <w:rFonts w:ascii="Times New Roman" w:hAnsi="Times New Roman" w:cs="Times New Roman" w:eastAsia="Times New Roman"/>
          <w:i/>
          <w:color w:val="000000"/>
          <w:sz w:val="22"/>
          <w:szCs w:val="22"/>
          <w:rtl w:val="false"/>
        </w:rPr>
        <w:t xml:space="preserve">Revista de Ensino de Engenharia,</w:t>
      </w:r>
      <w:r>
        <w:rPr>
          <w:rFonts w:ascii="Times New Roman" w:hAnsi="Times New Roman" w:cs="Times New Roman" w:eastAsia="Times New Roman"/>
          <w:color w:val="000000"/>
          <w:sz w:val="22"/>
          <w:szCs w:val="22"/>
          <w:rtl w:val="false"/>
        </w:rPr>
        <w:t xml:space="preserve"> 30(1), 52-60.</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Nóbriga, J. C. C., &amp; Dantas, S. C. (2021). Uma Proposta de Atividade com Feedbacks Automáticos no GeoGebra. </w:t>
      </w:r>
      <w:r>
        <w:rPr>
          <w:rFonts w:ascii="Times New Roman" w:hAnsi="Times New Roman" w:cs="Times New Roman" w:eastAsia="Times New Roman"/>
          <w:i/>
          <w:color w:val="000000"/>
          <w:sz w:val="22"/>
          <w:szCs w:val="22"/>
          <w:rtl w:val="false"/>
        </w:rPr>
        <w:t xml:space="preserve">Perspectivas da Educação Matemática</w:t>
      </w:r>
      <w:r>
        <w:rPr>
          <w:rFonts w:ascii="Times New Roman" w:hAnsi="Times New Roman" w:cs="Times New Roman" w:eastAsia="Times New Roman"/>
          <w:color w:val="000000"/>
          <w:sz w:val="22"/>
          <w:szCs w:val="22"/>
          <w:rtl w:val="false"/>
        </w:rPr>
        <w:t xml:space="preserve">, 14(34), 1-21.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Nonato, K. J., &amp; Costa, N. M. L. (2021). Conexões entre o Projeto Pedagógico de um Curso de Graduação em Matemática e o Conhecimento Tecnológico e Pedagógico do Conteúdo. </w:t>
      </w:r>
      <w:r>
        <w:rPr>
          <w:rFonts w:ascii="Times New Roman" w:hAnsi="Times New Roman" w:cs="Times New Roman" w:eastAsia="Times New Roman"/>
          <w:i/>
          <w:color w:val="000000"/>
          <w:sz w:val="22"/>
          <w:szCs w:val="22"/>
          <w:rtl w:val="false"/>
        </w:rPr>
        <w:t xml:space="preserve">Acta Scientiae</w:t>
      </w:r>
      <w:r>
        <w:rPr>
          <w:rFonts w:ascii="Times New Roman" w:hAnsi="Times New Roman" w:cs="Times New Roman" w:eastAsia="Times New Roman"/>
          <w:color w:val="000000"/>
          <w:sz w:val="22"/>
          <w:szCs w:val="22"/>
          <w:rtl w:val="false"/>
        </w:rPr>
        <w:t xml:space="preserve">, 23(3), 241-264.</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PEREIRA, F. H. (2018). </w:t>
      </w:r>
      <w:r>
        <w:rPr>
          <w:rFonts w:ascii="Times New Roman" w:hAnsi="Times New Roman" w:cs="Times New Roman" w:eastAsia="Times New Roman"/>
          <w:i/>
          <w:sz w:val="22"/>
          <w:szCs w:val="22"/>
          <w:rtl w:val="false"/>
        </w:rPr>
        <w:t xml:space="preserve">Um estudo sobre o ensino de geometria com o uso da FARMA</w:t>
      </w:r>
      <w:r>
        <w:rPr>
          <w:rFonts w:ascii="Times New Roman" w:hAnsi="Times New Roman" w:cs="Times New Roman" w:eastAsia="Times New Roman"/>
          <w:sz w:val="22"/>
          <w:szCs w:val="22"/>
          <w:rtl w:val="false"/>
        </w:rPr>
        <w:t xml:space="preserve">. 109 f. Dissertação (Mestrado em Ensino de Matemática) - Universidade Tecnológica Federal do Paraná, Londrina.</w:t>
      </w:r>
      <w:r>
        <w:rPr>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Pimentel, M., Filippo, D., &amp; Santoro, F. (2020). </w:t>
      </w:r>
      <w:r>
        <w:rPr>
          <w:rFonts w:ascii="Times New Roman" w:hAnsi="Times New Roman" w:cs="Times New Roman" w:eastAsia="Times New Roman"/>
          <w:i/>
          <w:color w:val="000000"/>
          <w:sz w:val="22"/>
          <w:szCs w:val="22"/>
          <w:rtl w:val="false"/>
        </w:rPr>
        <w:t xml:space="preserve">Design Science Research: fazendo pesquisas científicas rigorosas atreladas ao desenvolvimento de artefatos computacionais projetados para a educação</w:t>
      </w:r>
      <w:r>
        <w:rPr>
          <w:rFonts w:ascii="Times New Roman" w:hAnsi="Times New Roman" w:cs="Times New Roman" w:eastAsia="Times New Roman"/>
          <w:color w:val="000000"/>
          <w:sz w:val="22"/>
          <w:szCs w:val="22"/>
          <w:rtl w:val="false"/>
        </w:rPr>
        <w:t xml:space="preserve">. Metodologia de Pesquisa Científica em Informática na Educação: Concepção de Pesquisa. SBC.</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Pimentel, M., Filippo, D., &amp; Santos, T. M. (2020). Design Science Research: pesquisa científica atrelada ao design de artefatos. </w:t>
      </w:r>
      <w:r>
        <w:rPr>
          <w:rFonts w:ascii="Times New Roman" w:hAnsi="Times New Roman" w:cs="Times New Roman" w:eastAsia="Times New Roman"/>
          <w:i/>
          <w:color w:val="000000"/>
          <w:sz w:val="22"/>
          <w:szCs w:val="22"/>
          <w:rtl w:val="false"/>
        </w:rPr>
        <w:t xml:space="preserve">RE@ D-Revista de Educação a Distância e Elearning</w:t>
      </w:r>
      <w:r>
        <w:rPr>
          <w:rFonts w:ascii="Times New Roman" w:hAnsi="Times New Roman" w:cs="Times New Roman" w:eastAsia="Times New Roman"/>
          <w:color w:val="000000"/>
          <w:sz w:val="22"/>
          <w:szCs w:val="22"/>
          <w:rtl w:val="false"/>
        </w:rPr>
        <w:t xml:space="preserve">, 3(1), 37-61.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Resolução CNE/CES 2/2019. </w:t>
      </w:r>
      <w:r>
        <w:rPr>
          <w:rFonts w:ascii="Times New Roman" w:hAnsi="Times New Roman" w:cs="Times New Roman" w:eastAsia="Times New Roman"/>
          <w:i/>
          <w:color w:val="000000"/>
          <w:sz w:val="22"/>
          <w:szCs w:val="22"/>
          <w:rtl w:val="false"/>
        </w:rPr>
        <w:t xml:space="preserve">Diretrizes Curriculares Nacionais do Curso de Graduação em Engenharia</w:t>
      </w:r>
      <w:r>
        <w:rPr>
          <w:rFonts w:ascii="Times New Roman" w:hAnsi="Times New Roman" w:cs="Times New Roman" w:eastAsia="Times New Roman"/>
          <w:color w:val="000000"/>
          <w:sz w:val="22"/>
          <w:szCs w:val="22"/>
          <w:rtl w:val="false"/>
        </w:rPr>
        <w:t xml:space="preserve">. Diário Oficial da União, Brasília, 26 de abril de 2019, Seção 1, pp. 43 e 44. </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Reyes, M. M., Soberanes-Martín, A., &amp; Soto, J. M. S. (2017). Análisis correlacional de competencias matemáticas de pruebas estandarizadas y pre-requisitos matemáticos en estudiantes de nuevo ingreso a Ingeniería en Computación. </w:t>
      </w:r>
      <w:r>
        <w:rPr>
          <w:rFonts w:ascii="Times New Roman" w:hAnsi="Times New Roman" w:cs="Times New Roman" w:eastAsia="Times New Roman"/>
          <w:i/>
          <w:color w:val="000000"/>
          <w:sz w:val="22"/>
          <w:szCs w:val="22"/>
          <w:rtl w:val="false"/>
        </w:rPr>
        <w:t xml:space="preserve">RIDE. Revista Iberoamericana para la Investigación y el Desarrollo Educativo</w:t>
      </w:r>
      <w:r>
        <w:rPr>
          <w:rFonts w:ascii="Times New Roman" w:hAnsi="Times New Roman" w:cs="Times New Roman" w:eastAsia="Times New Roman"/>
          <w:color w:val="000000"/>
          <w:sz w:val="22"/>
          <w:szCs w:val="22"/>
          <w:rtl w:val="false"/>
        </w:rPr>
        <w:t xml:space="preserve">, 8(15), 946-974.</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Rocha, E. B., Pimentel, M., &amp; Diniz, M. C. (2014, May). Desenvolvimento de um modelo da participação em bate papo seguindo a abordagem design science research.</w:t>
      </w:r>
      <w:r>
        <w:rPr>
          <w:rFonts w:ascii="Times New Roman" w:hAnsi="Times New Roman" w:cs="Times New Roman" w:eastAsia="Times New Roman"/>
          <w:i/>
          <w:color w:val="000000"/>
          <w:sz w:val="22"/>
          <w:szCs w:val="22"/>
          <w:rtl w:val="false"/>
        </w:rPr>
        <w:t xml:space="preserve"> In Anais do X Simpósio Brasileiro de Sistemas de Informação,</w:t>
      </w:r>
      <w:r>
        <w:rPr>
          <w:rFonts w:ascii="Times New Roman" w:hAnsi="Times New Roman" w:cs="Times New Roman" w:eastAsia="Times New Roman"/>
          <w:color w:val="000000"/>
          <w:sz w:val="22"/>
          <w:szCs w:val="22"/>
          <w:rtl w:val="false"/>
        </w:rPr>
        <w:t xml:space="preserve"> SBC, </w:t>
      </w:r>
      <w:r>
        <w:rPr>
          <w:rFonts w:ascii="Times New Roman" w:hAnsi="Times New Roman" w:cs="Times New Roman" w:eastAsia="Times New Roman"/>
          <w:sz w:val="22"/>
          <w:szCs w:val="22"/>
          <w:rtl w:val="false"/>
        </w:rPr>
        <w:t xml:space="preserve">32-43</w:t>
      </w:r>
      <w:r>
        <w:rPr>
          <w:rFonts w:ascii="Times New Roman" w:hAnsi="Times New Roman" w:cs="Times New Roman" w:eastAsia="Times New Roman"/>
          <w:color w:val="000000"/>
          <w:sz w:val="22"/>
          <w:szCs w:val="22"/>
          <w:rtl w:val="false"/>
        </w:rPr>
        <w:t xml:space="preserve">.</w:t>
      </w:r>
      <w:r/>
    </w:p>
    <w:p>
      <w:pPr>
        <w:ind w:left="709" w:hanging="709"/>
        <w:spacing w:before="280" w:after="120"/>
        <w:rPr>
          <w:rFonts w:ascii="Times New Roman" w:hAnsi="Times New Roman" w:cs="Times New Roman" w:eastAsia="Times New Roman"/>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Rodrigues, C., Menezes, L., &amp; Ponte, J. P. D. (2018). Práticas de Discussão em Sala de Aula de Matemática: os casos de dois professores. </w:t>
      </w:r>
      <w:r>
        <w:rPr>
          <w:rFonts w:ascii="Times New Roman" w:hAnsi="Times New Roman" w:cs="Times New Roman" w:eastAsia="Times New Roman"/>
          <w:i/>
          <w:sz w:val="22"/>
          <w:szCs w:val="22"/>
          <w:rtl w:val="false"/>
        </w:rPr>
        <w:t xml:space="preserve">Bolema: Boletim de Educação Matemática</w:t>
      </w:r>
      <w:r>
        <w:rPr>
          <w:rFonts w:ascii="Times New Roman" w:hAnsi="Times New Roman" w:cs="Times New Roman" w:eastAsia="Times New Roman"/>
          <w:sz w:val="22"/>
          <w:szCs w:val="22"/>
          <w:rtl w:val="false"/>
        </w:rPr>
        <w:t xml:space="preserve">, 32(61), 398-418.</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Santos, G. M. T., Reis, J. P. C., &amp; Silva, M. M. (2020). Tecnologias digitais na educação superior: reflexões acerca da disciplina de cálculo diferencial e integral i. </w:t>
      </w:r>
      <w:r>
        <w:rPr>
          <w:rFonts w:ascii="Times New Roman" w:hAnsi="Times New Roman" w:cs="Times New Roman" w:eastAsia="Times New Roman"/>
          <w:i/>
          <w:color w:val="000000"/>
          <w:sz w:val="22"/>
          <w:szCs w:val="22"/>
          <w:rtl w:val="false"/>
        </w:rPr>
        <w:t xml:space="preserve">Brazilian Journal of Development</w:t>
      </w:r>
      <w:r>
        <w:rPr>
          <w:rFonts w:ascii="Times New Roman" w:hAnsi="Times New Roman" w:cs="Times New Roman" w:eastAsia="Times New Roman"/>
          <w:color w:val="000000"/>
          <w:sz w:val="22"/>
          <w:szCs w:val="22"/>
          <w:rtl w:val="false"/>
        </w:rPr>
        <w:t xml:space="preserve">, 6(8), 55191-55201.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Silva, R. C., Direne, A. I., Marczal, D., Borille, A. C., Guimarães, P. R. B., da Silva Cabral, A., &amp; Camargo, B. F. (2018). Adaptabilidade de Objetos de Aprendizagem usando Calibragem e Sequenciamento Adaptativo de Exercícios. </w:t>
      </w:r>
      <w:r>
        <w:rPr>
          <w:rFonts w:ascii="Times New Roman" w:hAnsi="Times New Roman" w:cs="Times New Roman" w:eastAsia="Times New Roman"/>
          <w:i/>
          <w:color w:val="000000"/>
          <w:sz w:val="22"/>
          <w:szCs w:val="22"/>
          <w:rtl w:val="false"/>
        </w:rPr>
        <w:t xml:space="preserve">Revista Brasileira de Informática na Educação</w:t>
      </w:r>
      <w:r>
        <w:rPr>
          <w:rFonts w:ascii="Times New Roman" w:hAnsi="Times New Roman" w:cs="Times New Roman" w:eastAsia="Times New Roman"/>
          <w:color w:val="000000"/>
          <w:sz w:val="22"/>
          <w:szCs w:val="22"/>
          <w:rtl w:val="false"/>
        </w:rPr>
        <w:t xml:space="preserve">, 26(01), 70-90.</w:t>
      </w:r>
      <w:r/>
    </w:p>
    <w:p>
      <w:pPr>
        <w:ind w:left="709" w:hanging="709"/>
        <w:spacing w:before="280" w:after="120"/>
        <w:rPr>
          <w:rFonts w:ascii="Times New Roman" w:hAnsi="Times New Roman" w:cs="Times New Roman" w:eastAsia="Times New Roman"/>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t xml:space="preserve">Szesz Junior, A. (2021). </w:t>
      </w:r>
      <w:r>
        <w:rPr>
          <w:rFonts w:ascii="Times New Roman" w:hAnsi="Times New Roman" w:cs="Times New Roman" w:eastAsia="Times New Roman"/>
          <w:i/>
          <w:sz w:val="22"/>
          <w:szCs w:val="22"/>
          <w:rtl w:val="false"/>
        </w:rPr>
        <w:t xml:space="preserve">Math2Text: ferramenta tecnológica para acessibilidade de estudantes cegos a expressões matemáticas.</w:t>
      </w:r>
      <w:r>
        <w:rPr>
          <w:rFonts w:ascii="Times New Roman" w:hAnsi="Times New Roman" w:cs="Times New Roman" w:eastAsia="Times New Roman"/>
          <w:sz w:val="22"/>
          <w:szCs w:val="22"/>
          <w:rtl w:val="false"/>
        </w:rPr>
        <w:t xml:space="preserve"> Tese (Doutorado em Ensino de Ciência e Tecnologia) - Universidade Tecnológica Federal do Paraná, Ponta Grossa, 2021.</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Tonini, A. M., &amp; Pereira, T. R. D. S. (2019). </w:t>
      </w:r>
      <w:r>
        <w:rPr>
          <w:rFonts w:ascii="Times New Roman" w:hAnsi="Times New Roman" w:cs="Times New Roman" w:eastAsia="Times New Roman"/>
          <w:i/>
          <w:sz w:val="22"/>
          <w:szCs w:val="22"/>
          <w:rtl w:val="false"/>
        </w:rPr>
        <w:t xml:space="preserve">Desafios Da Educação Em Engenharia</w:t>
      </w:r>
      <w:r>
        <w:rPr>
          <w:rFonts w:ascii="Times New Roman" w:hAnsi="Times New Roman" w:cs="Times New Roman" w:eastAsia="Times New Roman"/>
          <w:i/>
          <w:color w:val="000000"/>
          <w:sz w:val="22"/>
          <w:szCs w:val="22"/>
          <w:rtl w:val="false"/>
        </w:rPr>
        <w:t xml:space="preserve">: Empreendedorismo, Industria 4.0, Formação do Engenheiro, Mulheres em STEM.</w:t>
      </w:r>
      <w:r>
        <w:rPr>
          <w:rFonts w:ascii="Times New Roman" w:hAnsi="Times New Roman" w:cs="Times New Roman" w:eastAsia="Times New Roman"/>
          <w:color w:val="000000"/>
          <w:sz w:val="22"/>
          <w:szCs w:val="22"/>
          <w:rtl w:val="false"/>
        </w:rPr>
        <w:t xml:space="preserve"> Brasília: ABENGE.</w:t>
      </w:r>
      <w:r/>
    </w:p>
    <w:p>
      <w:pPr>
        <w:ind w:left="709" w:hanging="709"/>
        <w:spacing w:before="280" w:after="120"/>
        <w:rPr>
          <w:rFonts w:ascii="Times New Roman" w:hAnsi="Times New Roman" w:cs="Times New Roman" w:eastAsia="Times New Roman"/>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sz w:val="22"/>
          <w:szCs w:val="22"/>
          <w:rtl w:val="false"/>
        </w:rPr>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sz w:val="22"/>
          <w:szCs w:val="22"/>
          <w:rtl w:val="false"/>
        </w:rPr>
        <w:t xml:space="preserve"> (2021). </w:t>
      </w:r>
      <w:r>
        <w:rPr>
          <w:rFonts w:ascii="Times New Roman" w:hAnsi="Times New Roman" w:cs="Times New Roman" w:eastAsia="Times New Roman"/>
          <w:sz w:val="22"/>
          <w:szCs w:val="22"/>
          <w:rtl w:val="false"/>
        </w:rPr>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color w:val="000000"/>
          <w:sz w:val="22"/>
          <w:szCs w:val="22"/>
          <w:rtl w:val="false"/>
        </w:rPr>
        <w:t xml:space="preserve"> (2018a). </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r>
      <w:r>
        <w:rPr>
          <w:rFonts w:ascii="Times New Roman" w:hAnsi="Times New Roman" w:cs="Times New Roman" w:eastAsia="Times New Roman"/>
          <w:sz w:val="22"/>
          <w:szCs w:val="22"/>
          <w:rtl w:val="false"/>
        </w:rPr>
        <w:t xml:space="preserve">Autor</w:t>
      </w:r>
      <w:r>
        <w:rPr>
          <w:rFonts w:ascii="Times New Roman" w:hAnsi="Times New Roman" w:cs="Times New Roman" w:eastAsia="Times New Roman"/>
          <w:color w:val="000000"/>
          <w:sz w:val="22"/>
          <w:szCs w:val="22"/>
          <w:rtl w:val="false"/>
        </w:rPr>
        <w:t xml:space="preserve"> (2018b). </w:t>
      </w:r>
      <w:r/>
    </w:p>
    <w:p>
      <w:pPr>
        <w:ind w:left="709" w:hanging="709"/>
        <w:spacing w:before="280" w:after="120"/>
        <w:rPr>
          <w:rFonts w:ascii="Times New Roman" w:hAnsi="Times New Roman" w:cs="Times New Roman" w:eastAsia="Times New Roman"/>
          <w:color w:val="000000"/>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r>
      <w:r>
        <w:rPr>
          <w:rFonts w:ascii="Times New Roman" w:hAnsi="Times New Roman" w:cs="Times New Roman" w:eastAsia="Times New Roman"/>
          <w:color w:val="000000"/>
          <w:sz w:val="22"/>
          <w:szCs w:val="22"/>
          <w:rtl w:val="false"/>
        </w:rPr>
        <w:t xml:space="preserve">Zarpelon, E., de Resende, L. M. M., &amp; Reis, E. F. (2017). Análise do desempenho de alunos ingressantes de engenharia na disciplina de Cálculo Diferencial e Integral I. </w:t>
      </w:r>
      <w:r>
        <w:rPr>
          <w:rFonts w:ascii="Times New Roman" w:hAnsi="Times New Roman" w:cs="Times New Roman" w:eastAsia="Times New Roman"/>
          <w:i/>
          <w:color w:val="000000"/>
          <w:sz w:val="22"/>
          <w:szCs w:val="22"/>
          <w:rtl w:val="false"/>
        </w:rPr>
        <w:t xml:space="preserve">Interfaces da educação</w:t>
      </w:r>
      <w:r>
        <w:rPr>
          <w:rFonts w:ascii="Times New Roman" w:hAnsi="Times New Roman" w:cs="Times New Roman" w:eastAsia="Times New Roman"/>
          <w:color w:val="000000"/>
          <w:sz w:val="22"/>
          <w:szCs w:val="22"/>
          <w:rtl w:val="false"/>
        </w:rPr>
        <w:t xml:space="preserve">, 8(22), 303-335.</w:t>
      </w:r>
      <w:r/>
    </w:p>
    <w:p>
      <w:pPr>
        <w:ind w:left="709" w:hanging="709"/>
        <w:spacing w:before="280" w:after="120"/>
        <w:rPr>
          <w:rFonts w:ascii="Times New Roman" w:hAnsi="Times New Roman" w:cs="Times New Roman" w:eastAsia="Times New Roman"/>
          <w:sz w:val="22"/>
          <w:szCs w:val="22"/>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2"/>
          <w:szCs w:val="22"/>
          <w:rtl w:val="false"/>
        </w:rPr>
        <w:t xml:space="preserve">Zimmerman, B. J. (1986). Becoming a self-regulated learner: Which are the key subprocesses?. </w:t>
      </w:r>
      <w:r>
        <w:rPr>
          <w:rFonts w:ascii="Times New Roman" w:hAnsi="Times New Roman" w:cs="Times New Roman" w:eastAsia="Times New Roman"/>
          <w:i/>
          <w:color w:val="000000"/>
          <w:sz w:val="22"/>
          <w:szCs w:val="22"/>
          <w:rtl w:val="false"/>
        </w:rPr>
        <w:t xml:space="preserve">Contemporary educational psychology</w:t>
      </w:r>
      <w:r>
        <w:rPr>
          <w:rFonts w:ascii="Times New Roman" w:hAnsi="Times New Roman" w:cs="Times New Roman" w:eastAsia="Times New Roman"/>
          <w:color w:val="000000"/>
          <w:sz w:val="22"/>
          <w:szCs w:val="22"/>
          <w:rtl w:val="false"/>
        </w:rPr>
        <w:t xml:space="preserve">, 11(4), 307-313.</w:t>
      </w:r>
      <w:r>
        <w:rPr>
          <w:rtl w:val="false"/>
        </w:rPr>
      </w:r>
      <w:r/>
    </w:p>
    <w:p>
      <w:pPr>
        <w:rPr>
          <w:sz w:val="22"/>
          <w:szCs w:val="22"/>
        </w:rPr>
      </w:pPr>
      <w:r>
        <w:rPr>
          <w:rtl w:val="false"/>
        </w:rPr>
      </w:r>
      <w:r/>
    </w:p>
    <w:sectPr>
      <w:headerReference w:type="default" r:id="rId8"/>
      <w:footerReference w:type="default" r:id="rId9"/>
      <w:footnotePr/>
      <w:endnotePr/>
      <w:type w:val="nextPage"/>
      <w:pgSz w:w="9184" w:h="12983" w:orient="portrait"/>
      <w:pgMar w:top="1417" w:right="1417" w:bottom="1417" w:left="850" w:header="0" w:footer="0" w:gutter="0"/>
      <w:pgNumType w:start="1"/>
      <w:cols w:num="1" w:sep="0" w:space="1701" w:equalWidth="1"/>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2-03-28T09:30:00Z">
    <w:p w14:paraId="00000001" w14:textId="00000001">
      <w:pPr>
        <w:spacing w:line="240" w:after="0" w:lineRule="auto" w:before="0"/>
        <w:ind w:firstLine="0" w:left="0" w:right="0"/>
        <w:jc w:val="left"/>
      </w:pPr>
      <w:r>
        <w:rPr>
          <w:rFonts w:eastAsia="Arial" w:ascii="Arial" w:hAnsi="Arial" w:cs="Arial"/>
          <w:sz w:val="22"/>
        </w:rPr>
        <w:t xml:space="preserve">Parafrasear, ou formatar como citação de mais de 3 linhas.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96C3C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Georgia">
    <w:panose1 w:val="02040502050405020303"/>
  </w:font>
  <w:font w:name="Segoe UI">
    <w:panose1 w:val="020B0502040204020203"/>
  </w:font>
  <w:font w:name="Times New Roman">
    <w:panose1 w:val="02020603050405020304"/>
  </w:font>
  <w:font w:name="Microsoft YaHei">
    <w:panose1 w:val="020B0503020204020204"/>
  </w:font>
  <w:font w:name="Noto Serif CJK SC">
    <w:panose1 w:val="020B0503020202020204"/>
  </w:font>
  <w:font w:name="OpenSymbol">
    <w:panose1 w:val="05010101010101010101"/>
  </w:font>
  <w:font w:name="Lohit Devanagari">
    <w:panose1 w:val="020B0503020202020204"/>
  </w:font>
  <w:font w:name="Liberation Serif">
    <w:panose1 w:val="02020603050405020304"/>
  </w:font>
  <w:font w:name="Arial">
    <w:panose1 w:val="020B0604020202020204"/>
  </w:font>
  <w:font w:name="Verdana">
    <w:panose1 w:val="020B060403050404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center" w:pos="4513" w:leader="none"/>
        <w:tab w:val="right" w:pos="9026" w:leader="none"/>
      </w:tabs>
      <w:rPr>
        <w:rFonts w:ascii="Times New Roman" w:hAnsi="Times New Roman" w:cs="Times New Roman" w:eastAsia="Times New Roman"/>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0"/>
        <w:szCs w:val="20"/>
        <w:rtl w:val="false"/>
      </w:rPr>
      <w:t xml:space="preserve">__________________</w:t>
    </w:r>
    <w:r/>
  </w:p>
  <w:p>
    <w:pPr>
      <w:tabs>
        <w:tab w:val="center" w:pos="4513" w:leader="none"/>
        <w:tab w:val="right" w:pos="9026" w:leader="none"/>
      </w:tabs>
      <w:rPr>
        <w:rFonts w:ascii="Times New Roman" w:hAnsi="Times New Roman" w:cs="Times New Roman" w:eastAsia="Times New Roman"/>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20"/>
        <w:szCs w:val="20"/>
        <w:rtl w:val="false"/>
      </w:rPr>
      <w:t xml:space="preserve">Corresponding author: author’s full name. Email: </w:t>
    </w:r>
    <w:hyperlink r:id="rId1" w:tooltip="mailto:author@emaildomain.com" w:history="1">
      <w:r>
        <w:rPr>
          <w:rFonts w:ascii="Times New Roman" w:hAnsi="Times New Roman" w:cs="Times New Roman" w:eastAsia="Times New Roman"/>
          <w:color w:val="0563C1"/>
          <w:sz w:val="20"/>
          <w:szCs w:val="20"/>
          <w:u w:val="single"/>
          <w:rtl w:val="false"/>
        </w:rPr>
        <w:t xml:space="preserve">author@emaildomain.com</w:t>
      </w:r>
    </w:hyperlink>
    <w:r>
      <w:rPr>
        <w:rFonts w:ascii="Times New Roman" w:hAnsi="Times New Roman" w:cs="Times New Roman" w:eastAsia="Times New Roman"/>
        <w:color w:val="000000"/>
        <w:sz w:val="20"/>
        <w:szCs w:val="20"/>
        <w:rtl w:val="false"/>
      </w:rPr>
      <w:t xml:space="preserve"> </w:t>
    </w:r>
    <w:r/>
  </w:p>
  <w:p>
    <w:pPr>
      <w:jc w:val="both"/>
      <w:widowControl w:val="off"/>
      <w:rPr>
        <w:rFonts w:ascii="Times New Roman" w:hAnsi="Times New Roman" w:cs="Times New Roman" w:eastAsia="Times New Roman"/>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rtl w:val="false"/>
      </w:rPr>
    </w:r>
    <w:r/>
  </w:p>
  <w:p>
    <w:pPr>
      <w:jc w:val="both"/>
      <w:widowControl w:val="off"/>
      <w:rPr>
        <w:rFonts w:ascii="Times New Roman" w:hAnsi="Times New Roman" w:cs="Times New Roman" w:eastAsia="Times New Roman"/>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rtl w:val="false"/>
      </w:rPr>
    </w:r>
    <w:r/>
  </w:p>
  <w:p>
    <w:pPr>
      <w:jc w:val="center"/>
      <w:tabs>
        <w:tab w:val="center" w:pos="4513" w:leader="none"/>
        <w:tab w:val="right" w:pos="9026" w:leader="none"/>
      </w:tabs>
      <w:rPr>
        <w:rFonts w:ascii="Times New Roman" w:hAnsi="Times New Roman" w:cs="Times New Roman" w:eastAsia="Times New Roman"/>
        <w:color w:val="000000"/>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eastAsia="Times New Roman"/>
        <w:color w:val="000000"/>
        <w:sz w:val="16"/>
        <w:szCs w:val="16"/>
        <w:rtl w:val="false"/>
      </w:rPr>
      <w:t xml:space="preserve">Acta Sci. (Canoas</w:t>
    </w:r>
    <w:r>
      <w:rPr>
        <w:rFonts w:ascii="Times New Roman" w:hAnsi="Times New Roman" w:cs="Times New Roman" w:eastAsia="Times New Roman"/>
        <w:i/>
        <w:color w:val="000000"/>
        <w:sz w:val="16"/>
        <w:szCs w:val="16"/>
        <w:rtl w:val="false"/>
      </w:rPr>
      <w:t xml:space="preserve">), 23</w:t>
    </w:r>
    <w:r>
      <w:rPr>
        <w:rFonts w:ascii="Times New Roman" w:hAnsi="Times New Roman" w:cs="Times New Roman" w:eastAsia="Times New Roman"/>
        <w:color w:val="000000"/>
        <w:sz w:val="16"/>
        <w:szCs w:val="16"/>
        <w:rtl w:val="false"/>
      </w:rPr>
      <w:t xml:space="preserve">(1), 1-17, Jan./Fev. 2021</w:t>
    </w:r>
    <w:r>
      <w:rPr>
        <w:rtl w:val="fals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spacing w:after="60"/>
      <w:tabs>
        <w:tab w:val="left" w:pos="1470" w:leader="none"/>
        <w:tab w:val="right" w:pos="8498" w:leader="none"/>
      </w:tabs>
      <w:rPr>
        <w:rFonts w:ascii="Times New Roman" w:hAnsi="Times New Roman" w:cs="Times New Roman" w:eastAsia="Times New Roman"/>
        <w:b/>
        <w:sz w:val="28"/>
        <w:szCs w:val="28"/>
      </w:rPr>
    </w:pPr>
    <w:r>
      <w:rPr>
        <w:rtl w:val="false"/>
      </w:rPr>
    </w:r>
    <w:r>
      <mc:AlternateContent>
        <mc:Choice Requires="wpg">
          <w:drawing>
            <wp:anchor xmlns:wp="http://schemas.openxmlformats.org/drawingml/2006/wordprocessingDrawing" distT="0" distB="0" distL="0" distR="0" simplePos="0" relativeHeight="0" behindDoc="1" locked="0" layoutInCell="1" allowOverlap="1">
              <wp:simplePos x="0" y="0"/>
              <wp:positionH relativeFrom="column">
                <wp:posOffset>0</wp:posOffset>
              </wp:positionH>
              <wp:positionV relativeFrom="paragraph">
                <wp:posOffset>0</wp:posOffset>
              </wp:positionV>
              <wp:extent cx="532765" cy="374650"/>
              <wp:effectExtent l="0" t="0" r="0" b="0"/>
              <wp:wrapNone/>
              <wp:docPr id="1" name="image4.jpg" hidden="0"/>
              <wp:cNvGraphicFramePr/>
              <a:graphic xmlns:a="http://schemas.openxmlformats.org/drawingml/2006/main">
                <a:graphicData uri="http://schemas.openxmlformats.org/drawingml/2006/picture">
                  <pic:pic xmlns:pic="http://schemas.openxmlformats.org/drawingml/2006/picture">
                    <pic:nvPicPr>
                      <pic:cNvPr id="0" name="image4.jpg" hidden="0"/>
                      <pic:cNvPicPr/>
                      <pic:nvPr isPhoto="0" userDrawn="0"/>
                    </pic:nvPicPr>
                    <pic:blipFill>
                      <a:blip r:embed="rId1"/>
                      <a:srcRect l="0" t="0" r="0" b="0"/>
                      <a:stretch/>
                    </pic:blipFill>
                    <pic:spPr bwMode="auto">
                      <a:xfrm>
                        <a:off x="0" y="0"/>
                        <a:ext cx="532765" cy="374650"/>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0;o:allowoverlap:true;o:allowincell:true;mso-position-horizontal-relative:text;margin-left:0.0pt;mso-position-horizontal:absolute;mso-position-vertical-relative:text;margin-top:0.0pt;mso-position-vertical:absolute;width:41.9pt;height:29.5pt;">
              <v:path textboxrect="0,0,0,0"/>
              <v:imagedata r:id="rId1" o:title=""/>
            </v:shape>
          </w:pict>
        </mc:Fallback>
      </mc:AlternateContent>
    </w:r>
    <w:r>
      <mc:AlternateContent>
        <mc:Choice Requires="wpg">
          <w:drawing>
            <wp:anchor xmlns:wp="http://schemas.openxmlformats.org/drawingml/2006/wordprocessingDrawing" distT="0" distB="0" distL="0" distR="0" simplePos="0" relativeHeight="0" behindDoc="1" locked="0" layoutInCell="1" allowOverlap="1">
              <wp:simplePos x="0" y="0"/>
              <wp:positionH relativeFrom="column">
                <wp:posOffset>3627755</wp:posOffset>
              </wp:positionH>
              <wp:positionV relativeFrom="paragraph">
                <wp:posOffset>0</wp:posOffset>
              </wp:positionV>
              <wp:extent cx="763270" cy="144145"/>
              <wp:effectExtent l="0" t="0" r="0" b="0"/>
              <wp:wrapNone/>
              <wp:docPr id="2" name="image1.png" hidden="0"/>
              <wp:cNvGraphicFramePr/>
              <a:graphic xmlns:a="http://schemas.openxmlformats.org/drawingml/2006/main">
                <a:graphicData uri="http://schemas.openxmlformats.org/drawingml/2006/picture">
                  <pic:pic xmlns:pic="http://schemas.openxmlformats.org/drawingml/2006/picture">
                    <pic:nvPicPr>
                      <pic:cNvPr id="0" name="image1.png" hidden="0"/>
                      <pic:cNvPicPr/>
                      <pic:nvPr isPhoto="0" userDrawn="0"/>
                    </pic:nvPicPr>
                    <pic:blipFill>
                      <a:blip r:embed="rId2"/>
                      <a:srcRect l="0" t="0" r="0" b="0"/>
                      <a:stretch/>
                    </pic:blipFill>
                    <pic:spPr bwMode="auto">
                      <a:xfrm>
                        <a:off x="0" y="0"/>
                        <a:ext cx="763270" cy="144145"/>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0.0pt;mso-wrap-distance-right:0.0pt;mso-wrap-distance-bottom:0.0pt;z-index:0;o:allowoverlap:true;o:allowincell:true;mso-position-horizontal-relative:text;margin-left:285.6pt;mso-position-horizontal:absolute;mso-position-vertical-relative:text;margin-top:0.0pt;mso-position-vertical:absolute;width:60.1pt;height:11.3pt;">
              <v:path textboxrect="0,0,0,0"/>
              <v:imagedata r:id="rId2" o:title=""/>
            </v:shape>
          </w:pict>
        </mc:Fallback>
      </mc:AlternateContent>
    </w:r>
    <w:r/>
  </w:p>
  <w:p>
    <w:pPr>
      <w:jc w:val="right"/>
      <w:rPr>
        <w:rFonts w:ascii="Times New Roman" w:hAnsi="Times New Roman" w:cs="Times New Roman" w:eastAsia="Times New Roman"/>
        <w:b/>
        <w:sz w:val="16"/>
        <w:szCs w:val="16"/>
      </w:rPr>
    </w:pPr>
    <w:r/>
    <w:bookmarkStart w:id="1" w:name="_heading=h.4d34og8"/>
    <w:r/>
    <w:bookmarkEnd w:id="1"/>
    <w:r/>
    <w:hyperlink r:id="rId3" w:tooltip="http://www.periodicos.ulbra.br/index.php/acta/" w:history="1">
      <w:r>
        <w:rPr>
          <w:rFonts w:ascii="Times New Roman" w:hAnsi="Times New Roman" w:cs="Times New Roman" w:eastAsia="Times New Roman"/>
          <w:b/>
          <w:color w:val="000000"/>
          <w:sz w:val="16"/>
          <w:szCs w:val="16"/>
          <w:rtl w:val="false"/>
        </w:rPr>
        <w:t xml:space="preserve">ISSN</w:t>
      </w:r>
    </w:hyperlink>
    <w:r/>
    <w:hyperlink r:id="rId4" w:tooltip="http://www.periodicos.ulbra.br/index.php/acta/" w:history="1">
      <w:r>
        <w:rPr>
          <w:rFonts w:ascii="Times New Roman" w:hAnsi="Times New Roman" w:cs="Times New Roman" w:eastAsia="Times New Roman"/>
          <w:color w:val="000000"/>
          <w:sz w:val="16"/>
          <w:szCs w:val="16"/>
          <w:rtl w:val="false"/>
        </w:rPr>
        <w:t xml:space="preserve">: 2178-7727</w:t>
      </w:r>
    </w:hyperlink>
    <w:r>
      <w:rPr>
        <w:rtl w:val="false"/>
      </w:rPr>
    </w:r>
    <w:r/>
  </w:p>
  <w:p>
    <w:pPr>
      <w:jc w:val="right"/>
      <w:rPr>
        <w:rFonts w:ascii="Times New Roman" w:hAnsi="Times New Roman" w:cs="Times New Roman" w:eastAsia="Times New Roman"/>
        <w:color w:val="000000"/>
        <w:sz w:val="16"/>
        <w:szCs w:val="16"/>
      </w:rPr>
    </w:pPr>
    <w:r/>
    <w:hyperlink r:id="rId5" w:tooltip="https://doi.org/10.17648/acta.scientiae.XXXX" w:history="1">
      <w:r>
        <w:rPr>
          <w:rFonts w:ascii="Times New Roman" w:hAnsi="Times New Roman" w:cs="Times New Roman" w:eastAsia="Times New Roman"/>
          <w:b/>
          <w:color w:val="000000"/>
          <w:sz w:val="16"/>
          <w:szCs w:val="16"/>
          <w:rtl w:val="false"/>
        </w:rPr>
        <w:t xml:space="preserve">DOI</w:t>
      </w:r>
    </w:hyperlink>
    <w:r/>
    <w:hyperlink r:id="rId6" w:tooltip="https://doi.org/10.17648/acta.scientiae.XXXX" w:history="1">
      <w:r>
        <w:rPr>
          <w:rFonts w:ascii="Times New Roman" w:hAnsi="Times New Roman" w:cs="Times New Roman" w:eastAsia="Times New Roman"/>
          <w:color w:val="000000"/>
          <w:sz w:val="16"/>
          <w:szCs w:val="16"/>
          <w:rtl w:val="false"/>
        </w:rPr>
        <w:t xml:space="preserve">: 10.17648/acta.scientiae.XXXX</w:t>
      </w:r>
    </w:hyperlink>
    <w:r>
      <w:rPr>
        <w:rtl w:val="false"/>
      </w:rPr>
    </w:r>
    <w:r/>
  </w:p>
  <w:p>
    <w:pPr>
      <w:tabs>
        <w:tab w:val="center" w:pos="4513" w:leader="none"/>
        <w:tab w:val="right" w:pos="9026" w:leader="none"/>
      </w:tabs>
      <w:rPr>
        <w:rFonts w:ascii="Times New Roman" w:hAnsi="Times New Roman" w:cs="Times New Roman" w:eastAsia="Times New Roman"/>
        <w:color w:val="000000"/>
        <w:sz w:val="16"/>
        <w:szCs w:val="16"/>
      </w:rPr>
      <w:pBdr>
        <w:top w:val="none" w:color="000000" w:sz="0" w:space="0"/>
        <w:left w:val="none" w:color="000000" w:sz="0" w:space="0"/>
        <w:bottom w:val="none" w:color="000000" w:sz="0" w:space="0"/>
        <w:right w:val="none" w:color="000000" w:sz="0" w:space="0"/>
        <w:between w:val="none" w:color="000000" w:sz="0" w:space="0"/>
      </w:pBdr>
    </w:pPr>
    <w:r>
      <w:rPr>
        <w:rtl w:val="false"/>
      </w:rPr>
    </w:r>
    <w:r/>
  </w:p>
  <w:p>
    <w:pPr>
      <w:tabs>
        <w:tab w:val="center" w:pos="4513" w:leader="none"/>
        <w:tab w:val="right" w:pos="9026" w:leader="none"/>
      </w:tabs>
      <w:rPr>
        <w:rFonts w:ascii="Times New Roman" w:hAnsi="Times New Roman" w:cs="Times New Roman" w:eastAsia="Times New Roman"/>
        <w:color w:val="000000"/>
        <w:sz w:val="16"/>
        <w:szCs w:val="16"/>
      </w:rPr>
      <w:pBdr>
        <w:top w:val="none" w:color="000000" w:sz="0" w:space="0"/>
        <w:left w:val="none" w:color="000000" w:sz="0" w:space="0"/>
        <w:bottom w:val="none" w:color="000000" w:sz="0" w:space="0"/>
        <w:right w:val="none" w:color="000000" w:sz="0" w:space="0"/>
        <w:between w:val="none" w:color="000000" w:sz="0" w:space="0"/>
      </w:pBdr>
    </w:pPr>
    <w:r>
      <w:rPr>
        <w:rtl w:val="false"/>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cs="Verdana" w:eastAsia="Verdana" w:hint="default"/>
        <w:sz w:val="24"/>
        <w:szCs w:val="24"/>
        <w:lang w:val="pt-BR"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2">
    <w:name w:val="Heading 1 Char"/>
    <w:basedOn w:val="910"/>
    <w:link w:val="904"/>
    <w:uiPriority w:val="9"/>
    <w:rPr>
      <w:rFonts w:ascii="Arial" w:hAnsi="Arial" w:cs="Arial" w:eastAsia="Arial"/>
      <w:sz w:val="40"/>
      <w:szCs w:val="40"/>
    </w:rPr>
  </w:style>
  <w:style w:type="character" w:styleId="733">
    <w:name w:val="Heading 2 Char"/>
    <w:basedOn w:val="910"/>
    <w:link w:val="905"/>
    <w:uiPriority w:val="9"/>
    <w:rPr>
      <w:rFonts w:ascii="Arial" w:hAnsi="Arial" w:cs="Arial" w:eastAsia="Arial"/>
      <w:sz w:val="34"/>
    </w:rPr>
  </w:style>
  <w:style w:type="character" w:styleId="734">
    <w:name w:val="Heading 3 Char"/>
    <w:basedOn w:val="910"/>
    <w:link w:val="906"/>
    <w:uiPriority w:val="9"/>
    <w:rPr>
      <w:rFonts w:ascii="Arial" w:hAnsi="Arial" w:cs="Arial" w:eastAsia="Arial"/>
      <w:sz w:val="30"/>
      <w:szCs w:val="30"/>
    </w:rPr>
  </w:style>
  <w:style w:type="character" w:styleId="735">
    <w:name w:val="Heading 4 Char"/>
    <w:basedOn w:val="910"/>
    <w:link w:val="907"/>
    <w:uiPriority w:val="9"/>
    <w:rPr>
      <w:rFonts w:ascii="Arial" w:hAnsi="Arial" w:cs="Arial" w:eastAsia="Arial"/>
      <w:b/>
      <w:bCs/>
      <w:sz w:val="26"/>
      <w:szCs w:val="26"/>
    </w:rPr>
  </w:style>
  <w:style w:type="character" w:styleId="736">
    <w:name w:val="Heading 5 Char"/>
    <w:basedOn w:val="910"/>
    <w:link w:val="908"/>
    <w:uiPriority w:val="9"/>
    <w:rPr>
      <w:rFonts w:ascii="Arial" w:hAnsi="Arial" w:cs="Arial" w:eastAsia="Arial"/>
      <w:b/>
      <w:bCs/>
      <w:sz w:val="24"/>
      <w:szCs w:val="24"/>
    </w:rPr>
  </w:style>
  <w:style w:type="character" w:styleId="737">
    <w:name w:val="Heading 6 Char"/>
    <w:basedOn w:val="910"/>
    <w:link w:val="909"/>
    <w:uiPriority w:val="9"/>
    <w:rPr>
      <w:rFonts w:ascii="Arial" w:hAnsi="Arial" w:cs="Arial" w:eastAsia="Arial"/>
      <w:b/>
      <w:bCs/>
      <w:sz w:val="22"/>
      <w:szCs w:val="22"/>
    </w:rPr>
  </w:style>
  <w:style w:type="paragraph" w:styleId="738">
    <w:name w:val="Heading 7"/>
    <w:basedOn w:val="903"/>
    <w:next w:val="903"/>
    <w:link w:val="739"/>
    <w:uiPriority w:val="9"/>
    <w:unhideWhenUsed/>
    <w:qFormat/>
    <w:pPr>
      <w:keepLines/>
      <w:keepNext/>
      <w:spacing w:before="320" w:after="200"/>
      <w:outlineLvl w:val="6"/>
    </w:pPr>
    <w:rPr>
      <w:rFonts w:ascii="Arial" w:hAnsi="Arial" w:cs="Arial" w:eastAsia="Arial"/>
      <w:b/>
      <w:bCs/>
      <w:i/>
      <w:iCs/>
      <w:sz w:val="22"/>
      <w:szCs w:val="22"/>
    </w:rPr>
  </w:style>
  <w:style w:type="character" w:styleId="739">
    <w:name w:val="Heading 7 Char"/>
    <w:basedOn w:val="910"/>
    <w:link w:val="738"/>
    <w:uiPriority w:val="9"/>
    <w:rPr>
      <w:rFonts w:ascii="Arial" w:hAnsi="Arial" w:cs="Arial" w:eastAsia="Arial"/>
      <w:b/>
      <w:bCs/>
      <w:i/>
      <w:iCs/>
      <w:sz w:val="22"/>
      <w:szCs w:val="22"/>
    </w:rPr>
  </w:style>
  <w:style w:type="paragraph" w:styleId="740">
    <w:name w:val="Heading 8"/>
    <w:basedOn w:val="903"/>
    <w:next w:val="903"/>
    <w:link w:val="741"/>
    <w:uiPriority w:val="9"/>
    <w:unhideWhenUsed/>
    <w:qFormat/>
    <w:pPr>
      <w:keepLines/>
      <w:keepNext/>
      <w:spacing w:before="320" w:after="200"/>
      <w:outlineLvl w:val="7"/>
    </w:pPr>
    <w:rPr>
      <w:rFonts w:ascii="Arial" w:hAnsi="Arial" w:cs="Arial" w:eastAsia="Arial"/>
      <w:i/>
      <w:iCs/>
      <w:sz w:val="22"/>
      <w:szCs w:val="22"/>
    </w:rPr>
  </w:style>
  <w:style w:type="character" w:styleId="741">
    <w:name w:val="Heading 8 Char"/>
    <w:basedOn w:val="910"/>
    <w:link w:val="740"/>
    <w:uiPriority w:val="9"/>
    <w:rPr>
      <w:rFonts w:ascii="Arial" w:hAnsi="Arial" w:cs="Arial" w:eastAsia="Arial"/>
      <w:i/>
      <w:iCs/>
      <w:sz w:val="22"/>
      <w:szCs w:val="22"/>
    </w:rPr>
  </w:style>
  <w:style w:type="paragraph" w:styleId="742">
    <w:name w:val="Heading 9"/>
    <w:basedOn w:val="903"/>
    <w:next w:val="903"/>
    <w:link w:val="743"/>
    <w:uiPriority w:val="9"/>
    <w:unhideWhenUsed/>
    <w:qFormat/>
    <w:pPr>
      <w:keepLines/>
      <w:keepNext/>
      <w:spacing w:before="320" w:after="200"/>
      <w:outlineLvl w:val="8"/>
    </w:pPr>
    <w:rPr>
      <w:rFonts w:ascii="Arial" w:hAnsi="Arial" w:cs="Arial" w:eastAsia="Arial"/>
      <w:i/>
      <w:iCs/>
      <w:sz w:val="21"/>
      <w:szCs w:val="21"/>
    </w:rPr>
  </w:style>
  <w:style w:type="character" w:styleId="743">
    <w:name w:val="Heading 9 Char"/>
    <w:basedOn w:val="910"/>
    <w:link w:val="742"/>
    <w:uiPriority w:val="9"/>
    <w:rPr>
      <w:rFonts w:ascii="Arial" w:hAnsi="Arial" w:cs="Arial" w:eastAsia="Arial"/>
      <w:i/>
      <w:iCs/>
      <w:sz w:val="21"/>
      <w:szCs w:val="21"/>
    </w:rPr>
  </w:style>
  <w:style w:type="paragraph" w:styleId="744">
    <w:name w:val="No Spacing"/>
    <w:uiPriority w:val="1"/>
    <w:qFormat/>
    <w:pPr>
      <w:spacing w:before="0" w:after="0" w:line="240" w:lineRule="auto"/>
    </w:pPr>
  </w:style>
  <w:style w:type="character" w:styleId="745">
    <w:name w:val="Title Char"/>
    <w:basedOn w:val="910"/>
    <w:link w:val="914"/>
    <w:uiPriority w:val="10"/>
    <w:rPr>
      <w:sz w:val="48"/>
      <w:szCs w:val="48"/>
    </w:rPr>
  </w:style>
  <w:style w:type="character" w:styleId="746">
    <w:name w:val="Subtitle Char"/>
    <w:basedOn w:val="910"/>
    <w:link w:val="953"/>
    <w:uiPriority w:val="11"/>
    <w:rPr>
      <w:sz w:val="24"/>
      <w:szCs w:val="24"/>
    </w:rPr>
  </w:style>
  <w:style w:type="paragraph" w:styleId="747">
    <w:name w:val="Quote"/>
    <w:basedOn w:val="903"/>
    <w:next w:val="903"/>
    <w:link w:val="748"/>
    <w:uiPriority w:val="29"/>
    <w:qFormat/>
    <w:pPr>
      <w:ind w:left="720" w:right="720"/>
    </w:pPr>
    <w:rPr>
      <w:i/>
    </w:rPr>
  </w:style>
  <w:style w:type="character" w:styleId="748">
    <w:name w:val="Quote Char"/>
    <w:link w:val="747"/>
    <w:uiPriority w:val="29"/>
    <w:rPr>
      <w:i/>
    </w:rPr>
  </w:style>
  <w:style w:type="paragraph" w:styleId="749">
    <w:name w:val="Intense Quote"/>
    <w:basedOn w:val="903"/>
    <w:next w:val="903"/>
    <w:link w:val="75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0">
    <w:name w:val="Intense Quote Char"/>
    <w:link w:val="749"/>
    <w:uiPriority w:val="30"/>
    <w:rPr>
      <w:i/>
    </w:rPr>
  </w:style>
  <w:style w:type="character" w:styleId="751">
    <w:name w:val="Header Char"/>
    <w:basedOn w:val="910"/>
    <w:link w:val="942"/>
    <w:uiPriority w:val="99"/>
  </w:style>
  <w:style w:type="character" w:styleId="752">
    <w:name w:val="Footer Char"/>
    <w:basedOn w:val="910"/>
    <w:link w:val="943"/>
    <w:uiPriority w:val="99"/>
  </w:style>
  <w:style w:type="character" w:styleId="753">
    <w:name w:val="Caption Char"/>
    <w:basedOn w:val="934"/>
    <w:link w:val="943"/>
    <w:uiPriority w:val="99"/>
  </w:style>
  <w:style w:type="table" w:styleId="754">
    <w:name w:val="Table Grid Light"/>
    <w:basedOn w:val="9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5">
    <w:name w:val="Plain Table 1"/>
    <w:basedOn w:val="9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6">
    <w:name w:val="Plain Table 2"/>
    <w:basedOn w:val="9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3"/>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8">
    <w:name w:val="Plain Table 4"/>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9">
    <w:name w:val="Plain Table 5"/>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0">
    <w:name w:val="Grid Table 1 Light"/>
    <w:basedOn w:val="9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1">
    <w:name w:val="Grid Table 1 Light - Accent 1"/>
    <w:basedOn w:val="9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2">
    <w:name w:val="Grid Table 1 Light - Accent 2"/>
    <w:basedOn w:val="9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3">
    <w:name w:val="Grid Table 1 Light - Accent 3"/>
    <w:basedOn w:val="9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4">
    <w:name w:val="Grid Table 1 Light - Accent 4"/>
    <w:basedOn w:val="9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5">
    <w:name w:val="Grid Table 1 Light - Accent 5"/>
    <w:basedOn w:val="9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6">
    <w:name w:val="Grid Table 1 Light - Accent 6"/>
    <w:basedOn w:val="9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7">
    <w:name w:val="Grid Table 2"/>
    <w:basedOn w:val="9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8">
    <w:name w:val="Grid Table 2 - Accent 1"/>
    <w:basedOn w:val="9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9">
    <w:name w:val="Grid Table 2 - Accent 2"/>
    <w:basedOn w:val="9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2 - Accent 3"/>
    <w:basedOn w:val="9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2 - Accent 4"/>
    <w:basedOn w:val="9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2 - Accent 5"/>
    <w:basedOn w:val="9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3">
    <w:name w:val="Grid Table 2 - Accent 6"/>
    <w:basedOn w:val="9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4">
    <w:name w:val="Grid Table 3"/>
    <w:basedOn w:val="9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5">
    <w:name w:val="Grid Table 3 - Accent 1"/>
    <w:basedOn w:val="9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2"/>
    <w:basedOn w:val="9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3"/>
    <w:basedOn w:val="9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4"/>
    <w:basedOn w:val="9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5"/>
    <w:basedOn w:val="9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6"/>
    <w:basedOn w:val="9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4"/>
    <w:basedOn w:val="9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2">
    <w:name w:val="Grid Table 4 - Accent 1"/>
    <w:basedOn w:val="9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3">
    <w:name w:val="Grid Table 4 - Accent 2"/>
    <w:basedOn w:val="9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4">
    <w:name w:val="Grid Table 4 - Accent 3"/>
    <w:basedOn w:val="9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5">
    <w:name w:val="Grid Table 4 - Accent 4"/>
    <w:basedOn w:val="9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6">
    <w:name w:val="Grid Table 4 - Accent 5"/>
    <w:basedOn w:val="9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7">
    <w:name w:val="Grid Table 4 - Accent 6"/>
    <w:basedOn w:val="9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8">
    <w:name w:val="Grid Table 5 Dark"/>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9">
    <w:name w:val="Grid Table 5 Dark- Accent 1"/>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90">
    <w:name w:val="Grid Table 5 Dark - Accent 2"/>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91">
    <w:name w:val="Grid Table 5 Dark - Accent 3"/>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92">
    <w:name w:val="Grid Table 5 Dark- Accent 4"/>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93">
    <w:name w:val="Grid Table 5 Dark - Accent 5"/>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94">
    <w:name w:val="Grid Table 5 Dark - Accent 6"/>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5">
    <w:name w:val="Grid Table 6 Colorful"/>
    <w:basedOn w:val="9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6">
    <w:name w:val="Grid Table 6 Colorful - Accent 1"/>
    <w:basedOn w:val="9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97">
    <w:name w:val="Grid Table 6 Colorful - Accent 2"/>
    <w:basedOn w:val="9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8">
    <w:name w:val="Grid Table 6 Colorful - Accent 3"/>
    <w:basedOn w:val="9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99">
    <w:name w:val="Grid Table 6 Colorful - Accent 4"/>
    <w:basedOn w:val="9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0">
    <w:name w:val="Grid Table 6 Colorful - Accent 5"/>
    <w:basedOn w:val="9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1">
    <w:name w:val="Grid Table 6 Colorful - Accent 6"/>
    <w:basedOn w:val="9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02">
    <w:name w:val="Grid Table 7 Colorful"/>
    <w:basedOn w:val="9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3">
    <w:name w:val="Grid Table 7 Colorful - Accent 1"/>
    <w:basedOn w:val="9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4">
    <w:name w:val="Grid Table 7 Colorful - Accent 2"/>
    <w:basedOn w:val="9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7 Colorful - Accent 3"/>
    <w:basedOn w:val="9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7 Colorful - Accent 4"/>
    <w:basedOn w:val="9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7 Colorful - Accent 5"/>
    <w:basedOn w:val="9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8">
    <w:name w:val="Grid Table 7 Colorful - Accent 6"/>
    <w:basedOn w:val="9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9">
    <w:name w:val="List Table 1 Light"/>
    <w:basedOn w:val="9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0">
    <w:name w:val="List Table 1 Light - Accent 1"/>
    <w:basedOn w:val="9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1">
    <w:name w:val="List Table 1 Light - Accent 2"/>
    <w:basedOn w:val="9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2">
    <w:name w:val="List Table 1 Light - Accent 3"/>
    <w:basedOn w:val="9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3">
    <w:name w:val="List Table 1 Light - Accent 4"/>
    <w:basedOn w:val="9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4">
    <w:name w:val="List Table 1 Light - Accent 5"/>
    <w:basedOn w:val="9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5">
    <w:name w:val="List Table 1 Light - Accent 6"/>
    <w:basedOn w:val="9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6">
    <w:name w:val="List Table 2"/>
    <w:basedOn w:val="9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7">
    <w:name w:val="List Table 2 - Accent 1"/>
    <w:basedOn w:val="9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8">
    <w:name w:val="List Table 2 - Accent 2"/>
    <w:basedOn w:val="9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9">
    <w:name w:val="List Table 2 - Accent 3"/>
    <w:basedOn w:val="9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0">
    <w:name w:val="List Table 2 - Accent 4"/>
    <w:basedOn w:val="9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1">
    <w:name w:val="List Table 2 - Accent 5"/>
    <w:basedOn w:val="9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2">
    <w:name w:val="List Table 2 - Accent 6"/>
    <w:basedOn w:val="9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3">
    <w:name w:val="List Table 3"/>
    <w:basedOn w:val="9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4">
    <w:name w:val="List Table 3 - Accent 1"/>
    <w:basedOn w:val="9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25">
    <w:name w:val="List Table 3 - Accent 2"/>
    <w:basedOn w:val="9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6">
    <w:name w:val="List Table 3 - Accent 3"/>
    <w:basedOn w:val="9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7">
    <w:name w:val="List Table 3 - Accent 4"/>
    <w:basedOn w:val="9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28">
    <w:name w:val="List Table 3 - Accent 5"/>
    <w:basedOn w:val="9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29">
    <w:name w:val="List Table 3 - Accent 6"/>
    <w:basedOn w:val="9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0">
    <w:name w:val="List Table 4"/>
    <w:basedOn w:val="9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1">
    <w:name w:val="List Table 4 - Accent 1"/>
    <w:basedOn w:val="9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32">
    <w:name w:val="List Table 4 - Accent 2"/>
    <w:basedOn w:val="9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33">
    <w:name w:val="List Table 4 - Accent 3"/>
    <w:basedOn w:val="9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4">
    <w:name w:val="List Table 4 - Accent 4"/>
    <w:basedOn w:val="9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5">
    <w:name w:val="List Table 4 - Accent 5"/>
    <w:basedOn w:val="9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36">
    <w:name w:val="List Table 4 - Accent 6"/>
    <w:basedOn w:val="9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7">
    <w:name w:val="List Table 5 Dark"/>
    <w:basedOn w:val="9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8">
    <w:name w:val="List Table 5 Dark - Accent 1"/>
    <w:basedOn w:val="9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2"/>
    <w:basedOn w:val="9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3"/>
    <w:basedOn w:val="9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4"/>
    <w:basedOn w:val="9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5"/>
    <w:basedOn w:val="9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6"/>
    <w:basedOn w:val="9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6 Colorful"/>
    <w:basedOn w:val="9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5">
    <w:name w:val="List Table 6 Colorful - Accent 1"/>
    <w:basedOn w:val="9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46">
    <w:name w:val="List Table 6 Colorful - Accent 2"/>
    <w:basedOn w:val="9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7">
    <w:name w:val="List Table 6 Colorful - Accent 3"/>
    <w:basedOn w:val="9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48">
    <w:name w:val="List Table 6 Colorful - Accent 4"/>
    <w:basedOn w:val="9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49">
    <w:name w:val="List Table 6 Colorful - Accent 5"/>
    <w:basedOn w:val="9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50">
    <w:name w:val="List Table 6 Colorful - Accent 6"/>
    <w:basedOn w:val="9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51">
    <w:name w:val="List Table 7 Colorful"/>
    <w:basedOn w:val="9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2">
    <w:name w:val="List Table 7 Colorful - Accent 1"/>
    <w:basedOn w:val="9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53">
    <w:name w:val="List Table 7 Colorful - Accent 2"/>
    <w:basedOn w:val="9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4">
    <w:name w:val="List Table 7 Colorful - Accent 3"/>
    <w:basedOn w:val="9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5">
    <w:name w:val="List Table 7 Colorful - Accent 4"/>
    <w:basedOn w:val="9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6">
    <w:name w:val="List Table 7 Colorful - Accent 5"/>
    <w:basedOn w:val="9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57">
    <w:name w:val="List Table 7 Colorful - Accent 6"/>
    <w:basedOn w:val="9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58">
    <w:name w:val="Lined - Accent"/>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9">
    <w:name w:val="Lined - Accent 1"/>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0">
    <w:name w:val="Lined - Accent 2"/>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1">
    <w:name w:val="Lined - Accent 3"/>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2">
    <w:name w:val="Lined - Accent 4"/>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3">
    <w:name w:val="Lined - Accent 5"/>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64">
    <w:name w:val="Lined - Accent 6"/>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5">
    <w:name w:val="Bordered &amp; Lined - Accent"/>
    <w:basedOn w:val="9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6">
    <w:name w:val="Bordered &amp; Lined - Accent 1"/>
    <w:basedOn w:val="9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7">
    <w:name w:val="Bordered &amp; Lined - Accent 2"/>
    <w:basedOn w:val="9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8">
    <w:name w:val="Bordered &amp; Lined - Accent 3"/>
    <w:basedOn w:val="9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9">
    <w:name w:val="Bordered &amp; Lined - Accent 4"/>
    <w:basedOn w:val="9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0">
    <w:name w:val="Bordered &amp; Lined - Accent 5"/>
    <w:basedOn w:val="9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71">
    <w:name w:val="Bordered &amp; Lined - Accent 6"/>
    <w:basedOn w:val="9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2">
    <w:name w:val="Bordered"/>
    <w:basedOn w:val="9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3">
    <w:name w:val="Bordered - Accent 1"/>
    <w:basedOn w:val="9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4">
    <w:name w:val="Bordered - Accent 2"/>
    <w:basedOn w:val="9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5">
    <w:name w:val="Bordered - Accent 3"/>
    <w:basedOn w:val="9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6">
    <w:name w:val="Bordered - Accent 4"/>
    <w:basedOn w:val="9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7">
    <w:name w:val="Bordered - Accent 5"/>
    <w:basedOn w:val="9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8">
    <w:name w:val="Bordered - Accent 6"/>
    <w:basedOn w:val="9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9">
    <w:name w:val="Hyperlink"/>
    <w:uiPriority w:val="99"/>
    <w:unhideWhenUsed/>
    <w:rPr>
      <w:color w:val="0000FF" w:themeColor="hyperlink"/>
      <w:u w:val="single"/>
    </w:rPr>
  </w:style>
  <w:style w:type="character" w:styleId="880">
    <w:name w:val="Footnote Text Char"/>
    <w:link w:val="936"/>
    <w:uiPriority w:val="99"/>
    <w:rPr>
      <w:sz w:val="18"/>
    </w:rPr>
  </w:style>
  <w:style w:type="character" w:styleId="881">
    <w:name w:val="footnote reference"/>
    <w:basedOn w:val="910"/>
    <w:uiPriority w:val="99"/>
    <w:unhideWhenUsed/>
    <w:rPr>
      <w:vertAlign w:val="superscript"/>
    </w:rPr>
  </w:style>
  <w:style w:type="paragraph" w:styleId="882">
    <w:name w:val="endnote text"/>
    <w:basedOn w:val="903"/>
    <w:link w:val="883"/>
    <w:uiPriority w:val="99"/>
    <w:semiHidden/>
    <w:unhideWhenUsed/>
    <w:pPr>
      <w:spacing w:after="0" w:line="240" w:lineRule="auto"/>
    </w:pPr>
    <w:rPr>
      <w:sz w:val="20"/>
    </w:rPr>
  </w:style>
  <w:style w:type="character" w:styleId="883">
    <w:name w:val="Endnote Text Char"/>
    <w:link w:val="882"/>
    <w:uiPriority w:val="99"/>
    <w:rPr>
      <w:sz w:val="20"/>
    </w:rPr>
  </w:style>
  <w:style w:type="character" w:styleId="884">
    <w:name w:val="endnote reference"/>
    <w:basedOn w:val="910"/>
    <w:uiPriority w:val="99"/>
    <w:semiHidden/>
    <w:unhideWhenUsed/>
    <w:rPr>
      <w:vertAlign w:val="superscript"/>
    </w:rPr>
  </w:style>
  <w:style w:type="paragraph" w:styleId="885">
    <w:name w:val="toc 1"/>
    <w:basedOn w:val="903"/>
    <w:next w:val="903"/>
    <w:uiPriority w:val="39"/>
    <w:unhideWhenUsed/>
    <w:pPr>
      <w:ind w:left="0" w:right="0" w:firstLine="0"/>
      <w:spacing w:after="57"/>
    </w:pPr>
  </w:style>
  <w:style w:type="paragraph" w:styleId="886">
    <w:name w:val="toc 2"/>
    <w:basedOn w:val="903"/>
    <w:next w:val="903"/>
    <w:uiPriority w:val="39"/>
    <w:unhideWhenUsed/>
    <w:pPr>
      <w:ind w:left="283" w:right="0" w:firstLine="0"/>
      <w:spacing w:after="57"/>
    </w:pPr>
  </w:style>
  <w:style w:type="paragraph" w:styleId="887">
    <w:name w:val="toc 3"/>
    <w:basedOn w:val="903"/>
    <w:next w:val="903"/>
    <w:uiPriority w:val="39"/>
    <w:unhideWhenUsed/>
    <w:pPr>
      <w:ind w:left="567" w:right="0" w:firstLine="0"/>
      <w:spacing w:after="57"/>
    </w:pPr>
  </w:style>
  <w:style w:type="paragraph" w:styleId="888">
    <w:name w:val="toc 4"/>
    <w:basedOn w:val="903"/>
    <w:next w:val="903"/>
    <w:uiPriority w:val="39"/>
    <w:unhideWhenUsed/>
    <w:pPr>
      <w:ind w:left="850" w:right="0" w:firstLine="0"/>
      <w:spacing w:after="57"/>
    </w:pPr>
  </w:style>
  <w:style w:type="paragraph" w:styleId="889">
    <w:name w:val="toc 5"/>
    <w:basedOn w:val="903"/>
    <w:next w:val="903"/>
    <w:uiPriority w:val="39"/>
    <w:unhideWhenUsed/>
    <w:pPr>
      <w:ind w:left="1134" w:right="0" w:firstLine="0"/>
      <w:spacing w:after="57"/>
    </w:pPr>
  </w:style>
  <w:style w:type="paragraph" w:styleId="890">
    <w:name w:val="toc 6"/>
    <w:basedOn w:val="903"/>
    <w:next w:val="903"/>
    <w:uiPriority w:val="39"/>
    <w:unhideWhenUsed/>
    <w:pPr>
      <w:ind w:left="1417" w:right="0" w:firstLine="0"/>
      <w:spacing w:after="57"/>
    </w:pPr>
  </w:style>
  <w:style w:type="paragraph" w:styleId="891">
    <w:name w:val="toc 7"/>
    <w:basedOn w:val="903"/>
    <w:next w:val="903"/>
    <w:uiPriority w:val="39"/>
    <w:unhideWhenUsed/>
    <w:pPr>
      <w:ind w:left="1701" w:right="0" w:firstLine="0"/>
      <w:spacing w:after="57"/>
    </w:pPr>
  </w:style>
  <w:style w:type="paragraph" w:styleId="892">
    <w:name w:val="toc 8"/>
    <w:basedOn w:val="903"/>
    <w:next w:val="903"/>
    <w:uiPriority w:val="39"/>
    <w:unhideWhenUsed/>
    <w:pPr>
      <w:ind w:left="1984" w:right="0" w:firstLine="0"/>
      <w:spacing w:after="57"/>
    </w:pPr>
  </w:style>
  <w:style w:type="paragraph" w:styleId="893">
    <w:name w:val="toc 9"/>
    <w:basedOn w:val="903"/>
    <w:next w:val="903"/>
    <w:uiPriority w:val="39"/>
    <w:unhideWhenUsed/>
    <w:pPr>
      <w:ind w:left="2268" w:right="0" w:firstLine="0"/>
      <w:spacing w:after="57"/>
    </w:pPr>
  </w:style>
  <w:style w:type="paragraph" w:styleId="894">
    <w:name w:val="TOC Heading"/>
    <w:uiPriority w:val="39"/>
    <w:unhideWhenUsed/>
  </w:style>
  <w:style w:type="paragraph" w:styleId="895">
    <w:name w:val="table of figures"/>
    <w:basedOn w:val="903"/>
    <w:next w:val="903"/>
    <w:uiPriority w:val="99"/>
    <w:unhideWhenUsed/>
    <w:pPr>
      <w:spacing w:after="0" w:afterAutospacing="0"/>
    </w:pPr>
  </w:style>
  <w:style w:type="paragraph" w:styleId="896">
    <w:name w:val="Heading 1"/>
    <w:basedOn w:val="903"/>
    <w:next w:val="903"/>
    <w:pPr>
      <w:keepLines/>
      <w:keepNext/>
      <w:spacing w:before="480" w:after="120"/>
    </w:pPr>
    <w:rPr>
      <w:b/>
      <w:sz w:val="48"/>
      <w:szCs w:val="48"/>
    </w:rPr>
  </w:style>
  <w:style w:type="paragraph" w:styleId="897">
    <w:name w:val="Heading 2"/>
    <w:basedOn w:val="903"/>
    <w:next w:val="903"/>
    <w:pPr>
      <w:keepLines/>
      <w:keepNext/>
      <w:spacing w:before="360" w:after="80"/>
    </w:pPr>
    <w:rPr>
      <w:b/>
      <w:sz w:val="36"/>
      <w:szCs w:val="36"/>
    </w:rPr>
  </w:style>
  <w:style w:type="paragraph" w:styleId="898">
    <w:name w:val="Heading 3"/>
    <w:basedOn w:val="903"/>
    <w:next w:val="903"/>
    <w:pPr>
      <w:ind w:left="2160" w:hanging="720"/>
      <w:keepNext/>
      <w:spacing w:before="140" w:after="120"/>
    </w:pPr>
    <w:rPr>
      <w:rFonts w:ascii="Liberation Serif" w:hAnsi="Liberation Serif" w:cs="Liberation Serif" w:eastAsia="Liberation Serif"/>
      <w:b/>
      <w:sz w:val="28"/>
      <w:szCs w:val="28"/>
    </w:rPr>
  </w:style>
  <w:style w:type="paragraph" w:styleId="899">
    <w:name w:val="Heading 4"/>
    <w:basedOn w:val="903"/>
    <w:next w:val="903"/>
    <w:pPr>
      <w:keepLines/>
      <w:keepNext/>
      <w:spacing w:before="240" w:after="40"/>
    </w:pPr>
    <w:rPr>
      <w:b/>
    </w:rPr>
  </w:style>
  <w:style w:type="paragraph" w:styleId="900">
    <w:name w:val="Heading 5"/>
    <w:basedOn w:val="903"/>
    <w:next w:val="903"/>
    <w:pPr>
      <w:keepLines/>
      <w:keepNext/>
      <w:spacing w:before="220" w:after="40"/>
    </w:pPr>
    <w:rPr>
      <w:b/>
      <w:sz w:val="22"/>
      <w:szCs w:val="22"/>
    </w:rPr>
  </w:style>
  <w:style w:type="paragraph" w:styleId="901">
    <w:name w:val="Heading 6"/>
    <w:basedOn w:val="903"/>
    <w:next w:val="903"/>
    <w:pPr>
      <w:keepLines/>
      <w:keepNext/>
      <w:spacing w:before="200" w:after="40"/>
    </w:pPr>
    <w:rPr>
      <w:b/>
      <w:sz w:val="20"/>
      <w:szCs w:val="20"/>
    </w:rPr>
  </w:style>
  <w:style w:type="paragraph" w:styleId="902">
    <w:name w:val="Title"/>
    <w:basedOn w:val="903"/>
    <w:next w:val="903"/>
    <w:pPr>
      <w:keepNext/>
      <w:spacing w:before="240" w:after="120"/>
    </w:pPr>
    <w:rPr>
      <w:sz w:val="28"/>
      <w:szCs w:val="28"/>
    </w:rPr>
  </w:style>
  <w:style w:type="paragraph" w:styleId="903" w:default="1">
    <w:name w:val="Normal"/>
    <w:qFormat/>
  </w:style>
  <w:style w:type="paragraph" w:styleId="904">
    <w:name w:val="Heading 1"/>
    <w:basedOn w:val="903"/>
    <w:next w:val="903"/>
    <w:pPr>
      <w:keepLines/>
      <w:keepNext/>
      <w:spacing w:before="480" w:after="120"/>
      <w:outlineLvl w:val="0"/>
    </w:pPr>
    <w:rPr>
      <w:b/>
      <w:sz w:val="48"/>
      <w:szCs w:val="48"/>
    </w:rPr>
  </w:style>
  <w:style w:type="paragraph" w:styleId="905">
    <w:name w:val="Heading 2"/>
    <w:basedOn w:val="903"/>
    <w:next w:val="903"/>
    <w:pPr>
      <w:keepLines/>
      <w:keepNext/>
      <w:spacing w:before="360" w:after="80"/>
      <w:outlineLvl w:val="1"/>
    </w:pPr>
    <w:rPr>
      <w:b/>
      <w:sz w:val="36"/>
      <w:szCs w:val="36"/>
    </w:rPr>
  </w:style>
  <w:style w:type="paragraph" w:styleId="906">
    <w:name w:val="Heading 3"/>
    <w:basedOn w:val="914"/>
    <w:next w:val="932"/>
    <w:qFormat/>
    <w:pPr>
      <w:numPr>
        <w:ilvl w:val="2"/>
        <w:numId w:val="0"/>
      </w:numPr>
      <w:spacing w:before="140"/>
      <w:outlineLvl w:val="2"/>
    </w:pPr>
    <w:rPr>
      <w:rFonts w:ascii="Liberation Serif" w:hAnsi="Liberation Serif" w:cs="Lohit Devanagari" w:eastAsia="Noto Serif CJK SC"/>
      <w:b/>
      <w:bCs/>
    </w:rPr>
  </w:style>
  <w:style w:type="paragraph" w:styleId="907">
    <w:name w:val="Heading 4"/>
    <w:basedOn w:val="903"/>
    <w:next w:val="903"/>
    <w:pPr>
      <w:keepLines/>
      <w:keepNext/>
      <w:spacing w:before="240" w:after="40"/>
      <w:outlineLvl w:val="3"/>
    </w:pPr>
    <w:rPr>
      <w:b/>
    </w:rPr>
  </w:style>
  <w:style w:type="paragraph" w:styleId="908">
    <w:name w:val="Heading 5"/>
    <w:basedOn w:val="903"/>
    <w:next w:val="903"/>
    <w:pPr>
      <w:keepLines/>
      <w:keepNext/>
      <w:spacing w:before="220" w:after="40"/>
      <w:outlineLvl w:val="4"/>
    </w:pPr>
    <w:rPr>
      <w:b/>
      <w:sz w:val="22"/>
      <w:szCs w:val="22"/>
    </w:rPr>
  </w:style>
  <w:style w:type="paragraph" w:styleId="909">
    <w:name w:val="Heading 6"/>
    <w:basedOn w:val="903"/>
    <w:next w:val="903"/>
    <w:pPr>
      <w:keepLines/>
      <w:keepNext/>
      <w:spacing w:before="200" w:after="40"/>
      <w:outlineLvl w:val="5"/>
    </w:pPr>
    <w:rPr>
      <w:b/>
      <w:sz w:val="20"/>
      <w:szCs w:val="20"/>
    </w:rPr>
  </w:style>
  <w:style w:type="character" w:styleId="910" w:default="1">
    <w:name w:val="Default Paragraph Font"/>
    <w:uiPriority w:val="1"/>
    <w:semiHidden/>
    <w:unhideWhenUsed/>
  </w:style>
  <w:style w:type="table" w:styleId="911" w:default="1">
    <w:name w:val="Normal Table"/>
    <w:uiPriority w:val="99"/>
    <w:semiHidden/>
    <w:unhideWhenUsed/>
    <w:tblPr>
      <w:tblInd w:w="0" w:type="dxa"/>
      <w:tblCellMar>
        <w:left w:w="108" w:type="dxa"/>
        <w:top w:w="0" w:type="dxa"/>
        <w:right w:w="108" w:type="dxa"/>
        <w:bottom w:w="0" w:type="dxa"/>
      </w:tblCellMar>
    </w:tblPr>
  </w:style>
  <w:style w:type="numbering" w:styleId="912" w:default="1">
    <w:name w:val="No List"/>
    <w:uiPriority w:val="99"/>
    <w:semiHidden/>
    <w:unhideWhenUsed/>
  </w:style>
  <w:style w:type="table" w:styleId="913" w:customStyle="1">
    <w:name w:val="Table Normal"/>
    <w:tblPr>
      <w:tblCellMar>
        <w:left w:w="0" w:type="dxa"/>
        <w:top w:w="0" w:type="dxa"/>
        <w:right w:w="0" w:type="dxa"/>
        <w:bottom w:w="0" w:type="dxa"/>
      </w:tblCellMar>
    </w:tblPr>
  </w:style>
  <w:style w:type="paragraph" w:styleId="914">
    <w:name w:val="Title"/>
    <w:basedOn w:val="903"/>
    <w:next w:val="932"/>
    <w:qFormat/>
    <w:pPr>
      <w:keepNext/>
      <w:spacing w:before="240" w:after="120"/>
    </w:pPr>
    <w:rPr>
      <w:rFonts w:eastAsia="Microsoft YaHei"/>
      <w:sz w:val="28"/>
      <w:szCs w:val="28"/>
    </w:rPr>
  </w:style>
  <w:style w:type="character" w:styleId="915" w:customStyle="1">
    <w:name w:val="Ênfase forte"/>
    <w:qFormat/>
    <w:rPr>
      <w:b/>
      <w:bCs/>
    </w:rPr>
  </w:style>
  <w:style w:type="character" w:styleId="916" w:customStyle="1">
    <w:name w:val="Texto de nota de rodapé Char"/>
    <w:basedOn w:val="910"/>
    <w:link w:val="936"/>
    <w:uiPriority w:val="99"/>
    <w:semiHidden/>
    <w:qFormat/>
    <w:rPr>
      <w:sz w:val="20"/>
      <w:szCs w:val="18"/>
    </w:rPr>
  </w:style>
  <w:style w:type="character" w:styleId="917" w:customStyle="1">
    <w:name w:val="Âncora da nota de rodapé"/>
    <w:rPr>
      <w:vertAlign w:val="superscript"/>
    </w:rPr>
  </w:style>
  <w:style w:type="character" w:styleId="918" w:customStyle="1">
    <w:name w:val="Footnote Characters"/>
    <w:basedOn w:val="910"/>
    <w:unhideWhenUsed/>
    <w:qFormat/>
    <w:rPr>
      <w:vertAlign w:val="superscript"/>
    </w:rPr>
  </w:style>
  <w:style w:type="character" w:styleId="919" w:customStyle="1">
    <w:name w:val="highlight"/>
    <w:basedOn w:val="910"/>
    <w:qFormat/>
  </w:style>
  <w:style w:type="character" w:styleId="920">
    <w:name w:val="annotation reference"/>
    <w:basedOn w:val="910"/>
    <w:uiPriority w:val="99"/>
    <w:semiHidden/>
    <w:unhideWhenUsed/>
    <w:qFormat/>
    <w:rPr>
      <w:sz w:val="16"/>
      <w:szCs w:val="16"/>
    </w:rPr>
  </w:style>
  <w:style w:type="character" w:styleId="921" w:customStyle="1">
    <w:name w:val="Texto de comentário Char"/>
    <w:basedOn w:val="910"/>
    <w:link w:val="937"/>
    <w:uiPriority w:val="99"/>
    <w:semiHidden/>
    <w:qFormat/>
    <w:rPr>
      <w:sz w:val="20"/>
      <w:szCs w:val="18"/>
    </w:rPr>
  </w:style>
  <w:style w:type="character" w:styleId="922" w:customStyle="1">
    <w:name w:val="Assunto do comentário Char"/>
    <w:basedOn w:val="921"/>
    <w:link w:val="938"/>
    <w:uiPriority w:val="99"/>
    <w:semiHidden/>
    <w:qFormat/>
    <w:rPr>
      <w:b/>
      <w:bCs/>
      <w:sz w:val="20"/>
      <w:szCs w:val="18"/>
    </w:rPr>
  </w:style>
  <w:style w:type="character" w:styleId="923" w:customStyle="1">
    <w:name w:val="Texto de balão Char"/>
    <w:basedOn w:val="910"/>
    <w:link w:val="939"/>
    <w:uiPriority w:val="99"/>
    <w:semiHidden/>
    <w:qFormat/>
    <w:rPr>
      <w:rFonts w:ascii="Segoe UI" w:hAnsi="Segoe UI"/>
      <w:sz w:val="18"/>
      <w:szCs w:val="16"/>
    </w:rPr>
  </w:style>
  <w:style w:type="character" w:styleId="924" w:customStyle="1">
    <w:name w:val="Link da Internet"/>
    <w:basedOn w:val="910"/>
    <w:uiPriority w:val="99"/>
    <w:unhideWhenUsed/>
    <w:rPr>
      <w:color w:val="0563C1" w:themeColor="hyperlink"/>
      <w:u w:val="single"/>
    </w:rPr>
  </w:style>
  <w:style w:type="character" w:styleId="925" w:customStyle="1">
    <w:name w:val="Unresolved Mention"/>
    <w:basedOn w:val="910"/>
    <w:uiPriority w:val="99"/>
    <w:semiHidden/>
    <w:unhideWhenUsed/>
    <w:qFormat/>
    <w:rPr>
      <w:color w:val="605E5C"/>
      <w:shd w:val="clear" w:color="auto" w:fill="e1dfdd"/>
    </w:rPr>
  </w:style>
  <w:style w:type="character" w:styleId="926" w:customStyle="1">
    <w:name w:val="normaltextrun"/>
    <w:basedOn w:val="910"/>
    <w:qFormat/>
  </w:style>
  <w:style w:type="character" w:styleId="927" w:customStyle="1">
    <w:name w:val="spellingerror"/>
    <w:basedOn w:val="910"/>
    <w:qFormat/>
  </w:style>
  <w:style w:type="character" w:styleId="928" w:customStyle="1">
    <w:name w:val="Cabeçalho Char"/>
    <w:basedOn w:val="910"/>
    <w:link w:val="942"/>
    <w:uiPriority w:val="99"/>
    <w:qFormat/>
    <w:rPr>
      <w:szCs w:val="21"/>
    </w:rPr>
  </w:style>
  <w:style w:type="character" w:styleId="929" w:customStyle="1">
    <w:name w:val="Rodapé Char"/>
    <w:basedOn w:val="910"/>
    <w:link w:val="943"/>
    <w:uiPriority w:val="99"/>
    <w:qFormat/>
    <w:rPr>
      <w:szCs w:val="21"/>
    </w:rPr>
  </w:style>
  <w:style w:type="character" w:styleId="930" w:customStyle="1">
    <w:name w:val="eop"/>
    <w:basedOn w:val="910"/>
    <w:qFormat/>
  </w:style>
  <w:style w:type="character" w:styleId="931" w:customStyle="1">
    <w:name w:val="Marcas"/>
    <w:qFormat/>
    <w:rPr>
      <w:rFonts w:ascii="OpenSymbol" w:hAnsi="OpenSymbol" w:cs="OpenSymbol" w:eastAsia="OpenSymbol"/>
    </w:rPr>
  </w:style>
  <w:style w:type="paragraph" w:styleId="932">
    <w:name w:val="Body Text"/>
    <w:basedOn w:val="903"/>
    <w:pPr>
      <w:spacing w:after="140" w:line="276" w:lineRule="auto"/>
    </w:pPr>
  </w:style>
  <w:style w:type="paragraph" w:styleId="933">
    <w:name w:val="List"/>
    <w:basedOn w:val="932"/>
  </w:style>
  <w:style w:type="paragraph" w:styleId="934">
    <w:name w:val="Caption"/>
    <w:basedOn w:val="903"/>
    <w:qFormat/>
    <w:pPr>
      <w:spacing w:before="120" w:after="120"/>
      <w:suppressLineNumbers/>
    </w:pPr>
    <w:rPr>
      <w:i/>
      <w:iCs/>
    </w:rPr>
  </w:style>
  <w:style w:type="paragraph" w:styleId="935" w:customStyle="1">
    <w:name w:val="Índice"/>
    <w:basedOn w:val="903"/>
    <w:qFormat/>
    <w:pPr>
      <w:suppressLineNumbers/>
    </w:pPr>
  </w:style>
  <w:style w:type="paragraph" w:styleId="936">
    <w:name w:val="footnote text"/>
    <w:basedOn w:val="903"/>
    <w:link w:val="916"/>
    <w:uiPriority w:val="99"/>
    <w:semiHidden/>
    <w:unhideWhenUsed/>
    <w:rPr>
      <w:sz w:val="20"/>
      <w:szCs w:val="18"/>
    </w:rPr>
  </w:style>
  <w:style w:type="paragraph" w:styleId="937">
    <w:name w:val="annotation text"/>
    <w:basedOn w:val="903"/>
    <w:link w:val="921"/>
    <w:uiPriority w:val="99"/>
    <w:semiHidden/>
    <w:unhideWhenUsed/>
    <w:qFormat/>
    <w:rPr>
      <w:sz w:val="20"/>
      <w:szCs w:val="18"/>
    </w:rPr>
  </w:style>
  <w:style w:type="paragraph" w:styleId="938">
    <w:name w:val="annotation subject"/>
    <w:basedOn w:val="937"/>
    <w:next w:val="937"/>
    <w:link w:val="922"/>
    <w:uiPriority w:val="99"/>
    <w:semiHidden/>
    <w:unhideWhenUsed/>
    <w:qFormat/>
    <w:rPr>
      <w:b/>
      <w:bCs/>
    </w:rPr>
  </w:style>
  <w:style w:type="paragraph" w:styleId="939">
    <w:name w:val="Balloon Text"/>
    <w:basedOn w:val="903"/>
    <w:link w:val="923"/>
    <w:uiPriority w:val="99"/>
    <w:semiHidden/>
    <w:unhideWhenUsed/>
    <w:qFormat/>
    <w:rPr>
      <w:rFonts w:ascii="Segoe UI" w:hAnsi="Segoe UI"/>
      <w:sz w:val="18"/>
      <w:szCs w:val="16"/>
    </w:rPr>
  </w:style>
  <w:style w:type="paragraph" w:styleId="940">
    <w:name w:val="List Paragraph"/>
    <w:basedOn w:val="903"/>
    <w:uiPriority w:val="34"/>
    <w:qFormat/>
    <w:pPr>
      <w:contextualSpacing/>
      <w:ind w:left="720"/>
    </w:pPr>
  </w:style>
  <w:style w:type="paragraph" w:styleId="941" w:customStyle="1">
    <w:name w:val="Cabeçalho e Rodapé"/>
    <w:basedOn w:val="903"/>
    <w:qFormat/>
  </w:style>
  <w:style w:type="paragraph" w:styleId="942">
    <w:name w:val="Header"/>
    <w:basedOn w:val="903"/>
    <w:link w:val="928"/>
    <w:uiPriority w:val="99"/>
    <w:unhideWhenUsed/>
    <w:pPr>
      <w:tabs>
        <w:tab w:val="center" w:pos="4513" w:leader="none"/>
        <w:tab w:val="right" w:pos="9026" w:leader="none"/>
      </w:tabs>
    </w:pPr>
    <w:rPr>
      <w:szCs w:val="21"/>
    </w:rPr>
  </w:style>
  <w:style w:type="paragraph" w:styleId="943">
    <w:name w:val="Footer"/>
    <w:basedOn w:val="903"/>
    <w:link w:val="929"/>
    <w:uiPriority w:val="99"/>
    <w:unhideWhenUsed/>
    <w:pPr>
      <w:tabs>
        <w:tab w:val="center" w:pos="4513" w:leader="none"/>
        <w:tab w:val="right" w:pos="9026" w:leader="none"/>
      </w:tabs>
    </w:pPr>
    <w:rPr>
      <w:szCs w:val="21"/>
    </w:rPr>
  </w:style>
  <w:style w:type="paragraph" w:styleId="944" w:customStyle="1">
    <w:name w:val="paragraph"/>
    <w:basedOn w:val="903"/>
    <w:qFormat/>
    <w:pPr>
      <w:spacing w:beforeAutospacing="1" w:afterAutospacing="1"/>
    </w:pPr>
    <w:rPr>
      <w:rFonts w:ascii="Times New Roman" w:hAnsi="Times New Roman" w:cs="Times New Roman" w:eastAsia="Times New Roman"/>
      <w:lang w:eastAsia="en-GB"/>
    </w:rPr>
  </w:style>
  <w:style w:type="paragraph" w:styleId="945" w:customStyle="1">
    <w:name w:val="local"/>
    <w:basedOn w:val="903"/>
    <w:uiPriority w:val="3"/>
    <w:qFormat/>
    <w:pPr>
      <w:jc w:val="center"/>
      <w:spacing w:after="120"/>
    </w:pPr>
    <w:rPr>
      <w:rFonts w:ascii="Arial" w:hAnsi="Arial" w:cs="Times New Roman" w:eastAsia="Times New Roman"/>
      <w:sz w:val="28"/>
      <w:szCs w:val="20"/>
      <w:lang w:eastAsia="en-GB"/>
    </w:rPr>
  </w:style>
  <w:style w:type="paragraph" w:styleId="946" w:customStyle="1">
    <w:name w:val="Conteúdo da tabela"/>
    <w:basedOn w:val="903"/>
    <w:qFormat/>
    <w:pPr>
      <w:suppressLineNumbers/>
    </w:pPr>
  </w:style>
  <w:style w:type="paragraph" w:styleId="947" w:customStyle="1">
    <w:name w:val="Título de tabela"/>
    <w:basedOn w:val="946"/>
    <w:qFormat/>
    <w:pPr>
      <w:jc w:val="center"/>
    </w:pPr>
    <w:rPr>
      <w:b/>
      <w:bCs/>
    </w:rPr>
  </w:style>
  <w:style w:type="table" w:styleId="948">
    <w:name w:val="Table Grid"/>
    <w:basedOn w:val="9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49">
    <w:name w:val="Subtitle"/>
    <w:basedOn w:val="903"/>
    <w:next w:val="903"/>
    <w:pPr>
      <w:keepLines/>
      <w:keepNext/>
      <w:spacing w:before="360" w:after="80"/>
    </w:pPr>
    <w:rPr>
      <w:rFonts w:ascii="Georgia" w:hAnsi="Georgia" w:cs="Georgia" w:eastAsia="Georgia"/>
      <w:i/>
      <w:color w:val="666666"/>
      <w:sz w:val="48"/>
      <w:szCs w:val="48"/>
    </w:rPr>
  </w:style>
  <w:style w:type="table" w:styleId="950" w:customStyle="1">
    <w:name w:val="StGen0"/>
    <w:basedOn w:val="913"/>
    <w:tblPr>
      <w:tblStyleRowBandSize w:val="1"/>
      <w:tblStyleColBandSize w:val="1"/>
      <w:tblCellMar>
        <w:left w:w="100" w:type="dxa"/>
        <w:top w:w="100" w:type="dxa"/>
        <w:right w:w="100" w:type="dxa"/>
        <w:bottom w:w="100" w:type="dxa"/>
      </w:tblCellMar>
    </w:tblPr>
  </w:style>
  <w:style w:type="table" w:styleId="951" w:customStyle="1">
    <w:name w:val="StGen1"/>
    <w:basedOn w:val="913"/>
    <w:tblPr>
      <w:tblStyleRowBandSize w:val="1"/>
      <w:tblStyleColBandSize w:val="1"/>
      <w:tblCellMar>
        <w:left w:w="100" w:type="dxa"/>
        <w:top w:w="100" w:type="dxa"/>
        <w:right w:w="100" w:type="dxa"/>
        <w:bottom w:w="100" w:type="dxa"/>
      </w:tblCellMar>
    </w:tblPr>
  </w:style>
  <w:style w:type="table" w:styleId="952" w:customStyle="1">
    <w:name w:val="StGen2"/>
    <w:basedOn w:val="913"/>
    <w:tblPr>
      <w:tblStyleRowBandSize w:val="1"/>
      <w:tblStyleColBandSize w:val="1"/>
      <w:tblCellMar>
        <w:left w:w="100" w:type="dxa"/>
        <w:top w:w="100" w:type="dxa"/>
        <w:right w:w="100" w:type="dxa"/>
        <w:bottom w:w="100" w:type="dxa"/>
      </w:tblCellMar>
    </w:tblPr>
  </w:style>
  <w:style w:type="paragraph" w:styleId="953">
    <w:name w:val="Subtitle"/>
    <w:basedOn w:val="903"/>
    <w:next w:val="903"/>
    <w:pPr>
      <w:keepLines/>
      <w:keepNext/>
      <w:spacing w:before="360" w:after="80"/>
    </w:pPr>
    <w:rPr>
      <w:rFonts w:ascii="Georgia" w:hAnsi="Georgia" w:cs="Georgia" w:eastAsia="Georgia"/>
      <w:i/>
      <w:color w:val="666666"/>
      <w:sz w:val="48"/>
      <w:szCs w:val="48"/>
    </w:rPr>
  </w:style>
  <w:style w:type="table" w:styleId="954">
    <w:name w:val="StGen3"/>
    <w:basedOn w:val="913"/>
    <w:tblPr>
      <w:tblStyleRowBandSize w:val="1"/>
      <w:tblStyleColBandSize w:val="1"/>
      <w:tblCellMar>
        <w:left w:w="100" w:type="dxa"/>
        <w:top w:w="100" w:type="dxa"/>
        <w:right w:w="100" w:type="dxa"/>
        <w:bottom w:w="100" w:type="dxa"/>
      </w:tblCellMar>
    </w:tblPr>
  </w:style>
  <w:style w:type="table" w:styleId="955">
    <w:name w:val="StGen4"/>
    <w:basedOn w:val="913"/>
    <w:tblPr>
      <w:tblStyleRowBandSize w:val="1"/>
      <w:tblStyleColBandSize w:val="1"/>
      <w:tblCellMar>
        <w:left w:w="100" w:type="dxa"/>
        <w:top w:w="100" w:type="dxa"/>
        <w:right w:w="100" w:type="dxa"/>
        <w:bottom w:w="100" w:type="dxa"/>
      </w:tblCellMar>
    </w:tblPr>
  </w:style>
  <w:style w:type="table" w:styleId="956">
    <w:name w:val="StGen5"/>
    <w:basedOn w:val="913"/>
    <w:tblPr>
      <w:tblStyleRowBandSize w:val="1"/>
      <w:tblStyleColBandSize w:val="1"/>
      <w:tblCellMar>
        <w:left w:w="100" w:type="dxa"/>
        <w:top w:w="100" w:type="dxa"/>
        <w:right w:w="100" w:type="dxa"/>
        <w:bottom w:w="10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dx.doi.org/10.5753/cbie.sbie.2013.306" TargetMode="External"/><Relationship Id="rId15" Type="http://schemas.openxmlformats.org/officeDocument/2006/relationships/hyperlink" Target="http://dx.doi.org/10.5753/cbie.sbie.2016.94" TargetMode="External"/><Relationship Id="rId16" Type="http://schemas.onlyoffice.com/commentsDocument" Target="commentsDocument.xml" /><Relationship Id="rId17" Type="http://schemas.onlyoffice.com/commentsExtendedDocument" Target="commentsExtendedDocument.xml" /><Relationship Id="rId18" Type="http://schemas.onlyoffice.com/commentsIdsDocument" Target="commentsIds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mailto:author@emaildomain.com"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hyperlink" Target="http://www.periodicos.ulbra.br/index.php/acta/" TargetMode="External"/><Relationship Id="rId4" Type="http://schemas.openxmlformats.org/officeDocument/2006/relationships/hyperlink" Target="http://www.periodicos.ulbra.br/index.php/acta/" TargetMode="External"/><Relationship Id="rId5" Type="http://schemas.openxmlformats.org/officeDocument/2006/relationships/hyperlink" Target="https://doi.org/10.17648/acta.scientiae.XXXX" TargetMode="External"/><Relationship Id="rId6" Type="http://schemas.openxmlformats.org/officeDocument/2006/relationships/hyperlink" Target="https://doi.org/10.17648/acta.scientiae.XXXX" TargetMode="External"/></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ONLYOFFICE/7.0.1.37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2022-03-07T14:26:00Z</dcterms:created>
  <dcterms:modified xsi:type="dcterms:W3CDTF">2022-03-30T21:22:14Z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se Target">
    <vt:lpwstr>_blank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